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1A6D2" w14:textId="328CE85B" w:rsidR="00BD0D4D" w:rsidRDefault="00071289">
      <w:pPr>
        <w:rPr>
          <w:sz w:val="32"/>
          <w:szCs w:val="32"/>
        </w:rPr>
      </w:pPr>
      <w:r w:rsidRPr="00353F1B">
        <w:rPr>
          <w:rFonts w:ascii="Arial" w:hAnsi="Arial" w:cs="Arial"/>
          <w:noProof/>
          <w:color w:val="2F5496" w:themeColor="accent1" w:themeShade="BF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AC951" wp14:editId="7F73383E">
                <wp:simplePos x="0" y="0"/>
                <wp:positionH relativeFrom="margin">
                  <wp:posOffset>5186680</wp:posOffset>
                </wp:positionH>
                <wp:positionV relativeFrom="page">
                  <wp:posOffset>247650</wp:posOffset>
                </wp:positionV>
                <wp:extent cx="594360" cy="987552"/>
                <wp:effectExtent l="0" t="0" r="0" b="0"/>
                <wp:wrapNone/>
                <wp:docPr id="1664369184" name="Obdélník 1664369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" cy="98755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alias w:val="Rok"/>
                              <w:tag w:val=""/>
                              <w:id w:val="-191353945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4-03-20T00:00:00Z">
                                <w:dateFormat w:val="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F04F10A" w14:textId="134ECA59" w:rsidR="00071289" w:rsidRDefault="00071289" w:rsidP="00071289">
                                <w:pPr>
                                  <w:pStyle w:val="Bezmezer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2024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w14:anchorId="62BAC951" id="Obdélník 1664369184" o:spid="_x0000_s1026" style="position:absolute;margin-left:408.4pt;margin-top:19.5pt;width:46.8pt;height:77.75pt;z-index:251661312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FUzQIAAAoGAAAOAAAAZHJzL2Uyb0RvYy54bWysVM1u2zAMvg/YOwi6r06yJGuNOkWQosOA&#10;rC3WDj0rshwblUVNUuJkb7TDnqIvNkqyPa/rdhjmgyFS5Efq48/5xaGWZC+MrUBldHwyokQoDnml&#10;thn9fH/15pQS65jKmQQlMnoUll4sXr86b3QqJlCCzIUhCKJs2uiMls7pNEksL0XN7AloofCyAFMz&#10;h6LZJrlhDaLXMpmMRvOkAZNrA1xYi9rLeEkXAb8oBHc3RWGFIzKjmJsLfxP+G/9PFucs3Rqmy4q3&#10;abB/yKJmlcKgPdQlc4zsTPUbVF1xAxYKd8KhTqAoKi7CG/A149Gz19yVTIvwFiTH6p4m+/9g+fX+&#10;1pAqx9rN59O387Px6ZQSxWqs1c0mf/om1dP3RzK4RMYabVN0vNO3xr/Z6jXwR0sUrEqmtmJpNfKO&#10;iJ7d5BdjL9jW7VCY2rsjCeQQKnLsKyIOjnBUzs4wJ6wbx6uz03ez2SRgsrRz1sa69wJq4g8ZNRg4&#10;1IHt19b58CztTEKqIKv8qpIyCL7JxEoasmfYHoxzodwkuMtd/RHyqJ+P8IuNgmpsp6iedmoMEdrV&#10;I4WAdhhEKh9KgQ8a8/GawEokIlDijlJ4O6k+iQLLgU+PifTIwxzHIUdbslxE9eyPuQRAj1xg/B67&#10;BXjp/bFovb13FWGOeudRjP43594jRAbleue6UmBeApCujxztO5IiNZ4ld9gc2u7bQH7EvjUQB9pq&#10;flVhA6yZdbfM4ARjz+BWcjf4KyQ0GYX2REkJ5utLem+Pg4W3lDS4ETJqv+yYEZTIDwpHbjp7N/Er&#10;ZCiYobAZCmpXrwC7aoz7T/NwRGfjZHcsDNQPuLyWPipeMcUxdkY33XHl4p7C5cfFchmMcGlo5tbq&#10;TnMP7en17X1/eGBGtzPgcHiuodsdLH02CtHWeypY7hwUVZgTT3BktSUeF07o5nY5+o02lIPVzxW+&#10;+AEAAP//AwBQSwMEFAAGAAgAAAAhANHkKrHhAAAACgEAAA8AAABkcnMvZG93bnJldi54bWxMj01P&#10;g0AQhu8m/ofNmHgxdsF+pCBL05hw00QrhuvCjtCUnSXs0uK/dzzZ42SevO/zZrvZ9uKMoz86UhAv&#10;IhBIjTNHahWUn8XjFoQPmozuHaGCH/Swy29vMp0ad6EPPB9CKziEfKoVdCEMqZS+6dBqv3ADEv++&#10;3Wh14HNspRn1hcNtL5+iaCOtPhI3dHrAlw6b02GyCk4PRbUu4/1XXb2/DtWyLMz0Vih1fzfvn0EE&#10;nMM/DH/6rA45O9VuIuNFr2Abb1g9KFgmvImBJI5WIGomk9UaZJ7J6wn5LwAAAP//AwBQSwECLQAU&#10;AAYACAAAACEAtoM4kv4AAADhAQAAEwAAAAAAAAAAAAAAAAAAAAAAW0NvbnRlbnRfVHlwZXNdLnht&#10;bFBLAQItABQABgAIAAAAIQA4/SH/1gAAAJQBAAALAAAAAAAAAAAAAAAAAC8BAABfcmVscy8ucmVs&#10;c1BLAQItABQABgAIAAAAIQAul9FUzQIAAAoGAAAOAAAAAAAAAAAAAAAAAC4CAABkcnMvZTJvRG9j&#10;LnhtbFBLAQItABQABgAIAAAAIQDR5Cqx4QAAAAoBAAAPAAAAAAAAAAAAAAAAACcFAABkcnMvZG93&#10;bnJldi54bWxQSwUGAAAAAAQABADzAAAANQYAAAAA&#10;" fillcolor="#f4b083 [1941]" stroked="f" strokeweight="1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alias w:val="Rok"/>
                        <w:tag w:val=""/>
                        <w:id w:val="-1913539457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4-03-20T00:00:00Z">
                          <w:dateFormat w:val="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F04F10A" w14:textId="134ECA59" w:rsidR="00071289" w:rsidRDefault="00071289" w:rsidP="00071289">
                          <w:pPr>
                            <w:pStyle w:val="Bezmezer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2024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  <w:r w:rsidRPr="00353F1B">
        <w:rPr>
          <w:rFonts w:ascii="Arial" w:hAnsi="Arial" w:cs="Arial"/>
          <w:noProof/>
          <w:color w:val="2F5496" w:themeColor="accent1" w:themeShade="BF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4D073" wp14:editId="328DA1CC">
                <wp:simplePos x="0" y="0"/>
                <wp:positionH relativeFrom="margin">
                  <wp:posOffset>5186045</wp:posOffset>
                </wp:positionH>
                <wp:positionV relativeFrom="page">
                  <wp:posOffset>245745</wp:posOffset>
                </wp:positionV>
                <wp:extent cx="594360" cy="987552"/>
                <wp:effectExtent l="0" t="0" r="0" b="5080"/>
                <wp:wrapNone/>
                <wp:docPr id="132" name="Obdélník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" cy="987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Rok"/>
                              <w:tag w:val=""/>
                              <w:id w:val="-785116381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4-03-20T00:00:00Z">
                                <w:dateFormat w:val="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0EEEE" w14:textId="5CE13FC1" w:rsidR="00071289" w:rsidRDefault="00071289" w:rsidP="00071289">
                                <w:pPr>
                                  <w:pStyle w:val="Bezmezer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2024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w14:anchorId="4D14D073" id="Obdélník 132" o:spid="_x0000_s1027" style="position:absolute;margin-left:408.35pt;margin-top:19.35pt;width:46.8pt;height:77.75pt;z-index:251659264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dfqAIAAJEFAAAOAAAAZHJzL2Uyb0RvYy54bWysVM1u2zAMvg/YOwi6r07SpmuNOkWQosOA&#10;oC3WDj0rshQblUVNUhJnb7TDnqIvNkqyvbQrdhjmg2CJ5Me/j7y4bBtFtsK6GnRBx0cjSoTmUNZ6&#10;XdCvD9cfzihxnumSKdCioHvh6OXs/buLncnFBCpQpbAEQbTLd6aglfcmzzLHK9EwdwRGaBRKsA3z&#10;eLXrrLRsh+iNyiaj0Wm2A1saC1w4h69XSUhnEV9Kwf2tlE54ogqKsfl42niuwpnNLli+tsxUNe/C&#10;YP8QRcNqjU4HqCvmGdnY+g+opuYWHEh/xKHJQMqai5gDZjMevcrmvmJGxFywOM4MZXL/D5bfbO8s&#10;qUvs3fGEEs0abNLtqnz+ofTzzycSXrFGO+NyVL03dzZk6cwS+JMjGhYV02sxdwYrjRhBN3uhHC6u&#10;M2ulbYI5pk3a2IP90APResLxcXp+cnyKneIoOj/7OJ1G/xnLe2Njnf8koCHhp6AWHcfKs+3S+eCe&#10;5b1K8KV0ODVc10olaXiJMaawYoB+r0TS/iIklgMDmUTUSESxUJZsGVKIcS60HydRxUqRnqcj/GLu&#10;WJtA3WARQ1EaAQOyRP8DdgfQa77ETlF2+sFURB4PxqO/BZaMB4voGbQfjJtag30LQGFWneek3xcp&#10;lSZUyberNlGlp8QKyj3Sx0KaK2f4dY1dWTLn75jFQcJG4nLwt3hIBbuCQvdHSQX2+1vvQR/5jVJK&#10;djiYBXXfNswKStRnjcw/mX6chEk+vNjDy+rwojfNArBxY1xDhsdfNLZe9b/SQvOIO2QevKKIaY6+&#10;C7rqfxc+rQvcQVzM51EJZ9cwv9T3hgfoUOXAuYf2kVnTEdMjo2+gH2GWv+Jn0g2WGuYbD7KO5A11&#10;TlXt6o9zH4nU7aiwWA7vUev3Jp39AgAA//8DAFBLAwQUAAYACAAAACEAXJEGPd4AAAAKAQAADwAA&#10;AGRycy9kb3ducmV2LnhtbEyPwU6DQBCG7ya+w2ZMvNmFQitFloaYeOBoJabHLTsFIjtL2G2Lb+94&#10;0tNkMl/++f5iv9hRXHH2gyMF8SoCgdQ6M1CnoPl4e8pA+KDJ6NERKvhGD/vy/q7QuXE3esfrIXSC&#10;Q8jnWkEfwpRL6dserfYrNyHx7exmqwOvcyfNrG8cbke5jqKttHog/tDrCV97bL8OF6sgbewGZfWZ&#10;Jamu6uPxvEmaulbq8WGpXkAEXMIfDL/6rA4lO53chYwXo4Is3j4zqiDJeDKwi6MExInJXboGWRby&#10;f4XyBwAA//8DAFBLAQItABQABgAIAAAAIQC2gziS/gAAAOEBAAATAAAAAAAAAAAAAAAAAAAAAABb&#10;Q29udGVudF9UeXBlc10ueG1sUEsBAi0AFAAGAAgAAAAhADj9If/WAAAAlAEAAAsAAAAAAAAAAAAA&#10;AAAALwEAAF9yZWxzLy5yZWxzUEsBAi0AFAAGAAgAAAAhADtyF1+oAgAAkQUAAA4AAAAAAAAAAAAA&#10;AAAALgIAAGRycy9lMm9Eb2MueG1sUEsBAi0AFAAGAAgAAAAhAFyRBj3eAAAACgEAAA8AAAAAAAAA&#10;AAAAAAAAAgUAAGRycy9kb3ducmV2LnhtbFBLBQYAAAAABAAEAPMAAAANBgAAAAA=&#10;" fillcolor="#4472c4 [3204]" stroked="f" strokeweight="1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Rok"/>
                        <w:tag w:val=""/>
                        <w:id w:val="-785116381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4-03-20T00:00:00Z">
                          <w:dateFormat w:val="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0F0EEEE" w14:textId="5CE13FC1" w:rsidR="00071289" w:rsidRDefault="00071289" w:rsidP="00071289">
                          <w:pPr>
                            <w:pStyle w:val="Bezmezer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2024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</w:p>
    <w:p w14:paraId="13A96E78" w14:textId="77777777" w:rsidR="00BD0D4D" w:rsidRDefault="00BD0D4D">
      <w:pPr>
        <w:rPr>
          <w:sz w:val="32"/>
          <w:szCs w:val="32"/>
        </w:rPr>
      </w:pPr>
    </w:p>
    <w:p w14:paraId="1E8E7122" w14:textId="77777777" w:rsidR="00BD0D4D" w:rsidRDefault="00BD0D4D">
      <w:pPr>
        <w:rPr>
          <w:sz w:val="32"/>
          <w:szCs w:val="32"/>
        </w:rPr>
      </w:pPr>
    </w:p>
    <w:p w14:paraId="0B22ED87" w14:textId="77777777" w:rsidR="00BD0D4D" w:rsidRDefault="00BD0D4D">
      <w:pPr>
        <w:rPr>
          <w:sz w:val="32"/>
          <w:szCs w:val="32"/>
        </w:rPr>
      </w:pPr>
    </w:p>
    <w:p w14:paraId="5D38D6B7" w14:textId="77777777" w:rsidR="008E5A40" w:rsidRDefault="008E5A40">
      <w:pPr>
        <w:rPr>
          <w:sz w:val="32"/>
          <w:szCs w:val="32"/>
        </w:rPr>
      </w:pPr>
    </w:p>
    <w:p w14:paraId="20920F1E" w14:textId="73D38BD8" w:rsidR="0068784D" w:rsidRPr="0068784D" w:rsidRDefault="0068784D">
      <w:pPr>
        <w:rPr>
          <w:b/>
          <w:bCs/>
          <w:color w:val="C45911" w:themeColor="accent2" w:themeShade="BF"/>
          <w:sz w:val="40"/>
          <w:szCs w:val="40"/>
        </w:rPr>
      </w:pPr>
      <w:r w:rsidRPr="0068784D">
        <w:rPr>
          <w:b/>
          <w:bCs/>
          <w:color w:val="C45911" w:themeColor="accent2" w:themeShade="BF"/>
          <w:sz w:val="40"/>
          <w:szCs w:val="40"/>
        </w:rPr>
        <w:t>PODKLAD PRO PS MV</w:t>
      </w:r>
      <w:r w:rsidR="00780D81">
        <w:rPr>
          <w:b/>
          <w:bCs/>
          <w:color w:val="C45911" w:themeColor="accent2" w:themeShade="BF"/>
          <w:sz w:val="40"/>
          <w:szCs w:val="40"/>
        </w:rPr>
        <w:t xml:space="preserve"> Strategického plánu SZP</w:t>
      </w:r>
    </w:p>
    <w:p w14:paraId="33EFE991" w14:textId="77777777" w:rsidR="00BD0D4D" w:rsidRDefault="00BD0D4D">
      <w:pPr>
        <w:rPr>
          <w:sz w:val="32"/>
          <w:szCs w:val="32"/>
        </w:rPr>
      </w:pPr>
    </w:p>
    <w:p w14:paraId="1BAB95D7" w14:textId="780A5893" w:rsidR="006C2C66" w:rsidRPr="0068784D" w:rsidRDefault="007C384C" w:rsidP="00BD0D4D">
      <w:pPr>
        <w:shd w:val="clear" w:color="auto" w:fill="FBE4D5" w:themeFill="accent2" w:themeFillTint="33"/>
        <w:rPr>
          <w:color w:val="C45911" w:themeColor="accent2" w:themeShade="BF"/>
          <w:sz w:val="72"/>
          <w:szCs w:val="72"/>
        </w:rPr>
      </w:pPr>
      <w:r w:rsidRPr="0068784D">
        <w:rPr>
          <w:color w:val="C45911" w:themeColor="accent2" w:themeShade="BF"/>
          <w:sz w:val="72"/>
          <w:szCs w:val="72"/>
        </w:rPr>
        <w:t>Sociální podmíněnost</w:t>
      </w:r>
    </w:p>
    <w:p w14:paraId="6CFCE1F1" w14:textId="77777777" w:rsidR="00BD0D4D" w:rsidRPr="00BD0D4D" w:rsidRDefault="00BD0D4D">
      <w:pPr>
        <w:rPr>
          <w:sz w:val="56"/>
          <w:szCs w:val="56"/>
        </w:rPr>
      </w:pPr>
    </w:p>
    <w:p w14:paraId="31193BDC" w14:textId="6606B060" w:rsidR="00BD0D4D" w:rsidRPr="00BD0D4D" w:rsidRDefault="002C3C73" w:rsidP="0068784D">
      <w:pPr>
        <w:spacing w:line="432" w:lineRule="auto"/>
        <w:rPr>
          <w:sz w:val="40"/>
          <w:szCs w:val="40"/>
        </w:rPr>
      </w:pPr>
      <w:r>
        <w:rPr>
          <w:sz w:val="40"/>
          <w:szCs w:val="40"/>
        </w:rPr>
        <w:br/>
      </w:r>
      <w:r w:rsidRPr="0068784D">
        <w:rPr>
          <w:color w:val="C45911" w:themeColor="accent2" w:themeShade="BF"/>
          <w:sz w:val="40"/>
          <w:szCs w:val="40"/>
        </w:rPr>
        <w:t>16.</w:t>
      </w:r>
      <w:r w:rsidR="008E5A40">
        <w:rPr>
          <w:color w:val="C45911" w:themeColor="accent2" w:themeShade="BF"/>
          <w:sz w:val="40"/>
          <w:szCs w:val="40"/>
        </w:rPr>
        <w:t xml:space="preserve"> </w:t>
      </w:r>
      <w:r w:rsidRPr="0068784D">
        <w:rPr>
          <w:color w:val="C45911" w:themeColor="accent2" w:themeShade="BF"/>
          <w:sz w:val="40"/>
          <w:szCs w:val="40"/>
        </w:rPr>
        <w:t>4.</w:t>
      </w:r>
      <w:r w:rsidR="008E5A40">
        <w:rPr>
          <w:color w:val="C45911" w:themeColor="accent2" w:themeShade="BF"/>
          <w:sz w:val="40"/>
          <w:szCs w:val="40"/>
        </w:rPr>
        <w:t xml:space="preserve"> </w:t>
      </w:r>
      <w:r w:rsidRPr="0068784D">
        <w:rPr>
          <w:color w:val="C45911" w:themeColor="accent2" w:themeShade="BF"/>
          <w:sz w:val="40"/>
          <w:szCs w:val="40"/>
        </w:rPr>
        <w:t>2024</w:t>
      </w:r>
    </w:p>
    <w:p w14:paraId="007BE68D" w14:textId="77777777" w:rsidR="007C384C" w:rsidRDefault="007C384C">
      <w:pPr>
        <w:rPr>
          <w:sz w:val="32"/>
          <w:szCs w:val="32"/>
        </w:rPr>
      </w:pPr>
    </w:p>
    <w:p w14:paraId="54EEBB6D" w14:textId="77777777" w:rsidR="00BD0D4D" w:rsidRDefault="00BD0D4D">
      <w:pPr>
        <w:rPr>
          <w:sz w:val="32"/>
          <w:szCs w:val="32"/>
        </w:rPr>
      </w:pPr>
    </w:p>
    <w:p w14:paraId="41C6771B" w14:textId="77777777" w:rsidR="00BD0D4D" w:rsidRDefault="00BD0D4D">
      <w:pPr>
        <w:rPr>
          <w:sz w:val="32"/>
          <w:szCs w:val="32"/>
        </w:rPr>
      </w:pPr>
    </w:p>
    <w:p w14:paraId="645A4478" w14:textId="77777777" w:rsidR="00BD0D4D" w:rsidRDefault="00BD0D4D">
      <w:pPr>
        <w:rPr>
          <w:sz w:val="32"/>
          <w:szCs w:val="32"/>
        </w:rPr>
      </w:pPr>
    </w:p>
    <w:p w14:paraId="3607A1B8" w14:textId="77777777" w:rsidR="00BD0D4D" w:rsidRDefault="00BD0D4D">
      <w:pPr>
        <w:rPr>
          <w:sz w:val="32"/>
          <w:szCs w:val="32"/>
        </w:rPr>
      </w:pPr>
    </w:p>
    <w:p w14:paraId="23BEC702" w14:textId="51EA221C" w:rsidR="00BD0D4D" w:rsidRDefault="00780D81">
      <w:pPr>
        <w:rPr>
          <w:sz w:val="32"/>
          <w:szCs w:val="32"/>
        </w:rPr>
      </w:pPr>
      <w:r w:rsidRPr="007D6F3C">
        <w:rPr>
          <w:rFonts w:ascii="Gill Sans MT" w:hAnsi="Gill Sans MT" w:cs="Arial"/>
          <w:noProof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1E2B6E68" wp14:editId="126D7149">
            <wp:simplePos x="0" y="0"/>
            <wp:positionH relativeFrom="margin">
              <wp:posOffset>0</wp:posOffset>
            </wp:positionH>
            <wp:positionV relativeFrom="paragraph">
              <wp:posOffset>352425</wp:posOffset>
            </wp:positionV>
            <wp:extent cx="3047365" cy="638810"/>
            <wp:effectExtent l="0" t="0" r="635" b="8890"/>
            <wp:wrapTight wrapText="bothSides">
              <wp:wrapPolygon edited="0">
                <wp:start x="0" y="0"/>
                <wp:lineTo x="0" y="21256"/>
                <wp:lineTo x="21469" y="21256"/>
                <wp:lineTo x="21469" y="0"/>
                <wp:lineTo x="0" y="0"/>
              </wp:wrapPolygon>
            </wp:wrapTight>
            <wp:docPr id="33" name="Obrázek 33" descr="Obsah obrázku text, Písmo, Elektricky modrá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33" descr="Obsah obrázku text, Písmo, Elektricky modrá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76055" w14:textId="0C8F11E7" w:rsidR="00BD0D4D" w:rsidRDefault="00780D81">
      <w:pPr>
        <w:rPr>
          <w:sz w:val="32"/>
          <w:szCs w:val="32"/>
        </w:rPr>
      </w:pPr>
      <w:r w:rsidRPr="007D6F3C">
        <w:rPr>
          <w:rFonts w:ascii="Gill Sans MT" w:hAnsi="Gill Sans MT" w:cs="Arial"/>
          <w:b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6A54FF8" wp14:editId="11E119AD">
            <wp:simplePos x="0" y="0"/>
            <wp:positionH relativeFrom="column">
              <wp:posOffset>3329305</wp:posOffset>
            </wp:positionH>
            <wp:positionV relativeFrom="paragraph">
              <wp:posOffset>83185</wp:posOffset>
            </wp:positionV>
            <wp:extent cx="2237548" cy="462332"/>
            <wp:effectExtent l="0" t="0" r="0" b="0"/>
            <wp:wrapNone/>
            <wp:docPr id="36" name="Obrázek 36" descr="Obsah obrázku Písmo, snímek obrazovky, grafický design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ázek 36" descr="Obsah obrázku Písmo, snímek obrazovky, grafický design, Grafika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548" cy="462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32495" w14:textId="60D2A84A" w:rsidR="00BD0D4D" w:rsidRDefault="00BD0D4D">
      <w:pPr>
        <w:rPr>
          <w:sz w:val="32"/>
          <w:szCs w:val="32"/>
        </w:rPr>
      </w:pPr>
    </w:p>
    <w:p w14:paraId="78C0EDB7" w14:textId="06D084AD" w:rsidR="00BD0D4D" w:rsidRDefault="00BD0D4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87E8843" w14:textId="77777777" w:rsidR="00BD0D4D" w:rsidRPr="007C384C" w:rsidRDefault="00BD0D4D">
      <w:pPr>
        <w:rPr>
          <w:sz w:val="32"/>
          <w:szCs w:val="32"/>
        </w:rPr>
      </w:pPr>
    </w:p>
    <w:p w14:paraId="708BA0DD" w14:textId="77777777" w:rsidR="00BD0D4D" w:rsidRDefault="00BD0D4D">
      <w:pPr>
        <w:rPr>
          <w:b/>
          <w:bCs/>
          <w:szCs w:val="24"/>
          <w:u w:val="single"/>
        </w:rPr>
      </w:pPr>
    </w:p>
    <w:p w14:paraId="25461C78" w14:textId="77777777" w:rsidR="00BD0D4D" w:rsidRDefault="00BD0D4D">
      <w:pPr>
        <w:rPr>
          <w:b/>
          <w:bCs/>
          <w:szCs w:val="24"/>
          <w:u w:val="single"/>
        </w:rPr>
      </w:pPr>
    </w:p>
    <w:sdt>
      <w:sdtPr>
        <w:rPr>
          <w:rFonts w:ascii="Cambria" w:eastAsiaTheme="minorHAnsi" w:hAnsi="Cambria" w:cstheme="minorBidi"/>
          <w:color w:val="auto"/>
          <w:sz w:val="24"/>
          <w:szCs w:val="22"/>
          <w:lang w:eastAsia="en-US"/>
        </w:rPr>
        <w:id w:val="114308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BE5D73" w14:textId="5E4F2708" w:rsidR="00B72300" w:rsidRPr="007B245C" w:rsidRDefault="00B72300" w:rsidP="00B45E5D">
          <w:pPr>
            <w:pStyle w:val="Nadpisobsahu"/>
            <w:shd w:val="clear" w:color="auto" w:fill="FBE4D5" w:themeFill="accent2" w:themeFillTint="33"/>
            <w:spacing w:after="240"/>
            <w:rPr>
              <w:rFonts w:ascii="Cambria" w:hAnsi="Cambria"/>
              <w:b/>
              <w:bCs/>
              <w:color w:val="C45911" w:themeColor="accent2" w:themeShade="BF"/>
              <w:sz w:val="28"/>
              <w:szCs w:val="28"/>
            </w:rPr>
          </w:pPr>
          <w:r w:rsidRPr="007B245C">
            <w:rPr>
              <w:rFonts w:ascii="Cambria" w:hAnsi="Cambria"/>
              <w:b/>
              <w:bCs/>
              <w:color w:val="C45911" w:themeColor="accent2" w:themeShade="BF"/>
              <w:sz w:val="28"/>
              <w:szCs w:val="28"/>
            </w:rPr>
            <w:t>Obsah</w:t>
          </w:r>
        </w:p>
        <w:p w14:paraId="4F689074" w14:textId="020D3EBD" w:rsidR="004B49F0" w:rsidRDefault="00B72300">
          <w:pPr>
            <w:pStyle w:val="Obsah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 w:rsidRPr="003202F9">
            <w:rPr>
              <w:szCs w:val="24"/>
            </w:rPr>
            <w:fldChar w:fldCharType="begin"/>
          </w:r>
          <w:r w:rsidRPr="003202F9">
            <w:rPr>
              <w:szCs w:val="24"/>
            </w:rPr>
            <w:instrText xml:space="preserve"> TOC \o "1-3" \h \z \u </w:instrText>
          </w:r>
          <w:r w:rsidRPr="003202F9">
            <w:rPr>
              <w:szCs w:val="24"/>
            </w:rPr>
            <w:fldChar w:fldCharType="separate"/>
          </w:r>
          <w:hyperlink w:anchor="_Toc162512838" w:history="1">
            <w:r w:rsidR="004B49F0" w:rsidRPr="00D97F0A">
              <w:rPr>
                <w:rStyle w:val="Hypertextovodkaz"/>
                <w:noProof/>
              </w:rPr>
              <w:t>1.</w:t>
            </w:r>
            <w:r w:rsidR="004B49F0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B49F0" w:rsidRPr="00D97F0A">
              <w:rPr>
                <w:rStyle w:val="Hypertextovodkaz"/>
                <w:noProof/>
              </w:rPr>
              <w:t>Úvod</w:t>
            </w:r>
            <w:r w:rsidR="004B49F0">
              <w:rPr>
                <w:noProof/>
                <w:webHidden/>
              </w:rPr>
              <w:tab/>
            </w:r>
            <w:r w:rsidR="004B49F0">
              <w:rPr>
                <w:noProof/>
                <w:webHidden/>
              </w:rPr>
              <w:fldChar w:fldCharType="begin"/>
            </w:r>
            <w:r w:rsidR="004B49F0">
              <w:rPr>
                <w:noProof/>
                <w:webHidden/>
              </w:rPr>
              <w:instrText xml:space="preserve"> PAGEREF _Toc162512838 \h </w:instrText>
            </w:r>
            <w:r w:rsidR="004B49F0">
              <w:rPr>
                <w:noProof/>
                <w:webHidden/>
              </w:rPr>
            </w:r>
            <w:r w:rsidR="004B49F0">
              <w:rPr>
                <w:noProof/>
                <w:webHidden/>
              </w:rPr>
              <w:fldChar w:fldCharType="separate"/>
            </w:r>
            <w:r w:rsidR="004B49F0">
              <w:rPr>
                <w:noProof/>
                <w:webHidden/>
              </w:rPr>
              <w:t>3</w:t>
            </w:r>
            <w:r w:rsidR="004B49F0">
              <w:rPr>
                <w:noProof/>
                <w:webHidden/>
              </w:rPr>
              <w:fldChar w:fldCharType="end"/>
            </w:r>
          </w:hyperlink>
        </w:p>
        <w:p w14:paraId="797A9A5D" w14:textId="5F1415FA" w:rsidR="004B49F0" w:rsidRDefault="00185795">
          <w:pPr>
            <w:pStyle w:val="Obsah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62512839" w:history="1">
            <w:r w:rsidR="004B49F0" w:rsidRPr="00D97F0A">
              <w:rPr>
                <w:rStyle w:val="Hypertextovodkaz"/>
                <w:noProof/>
              </w:rPr>
              <w:t>2.</w:t>
            </w:r>
            <w:r w:rsidR="004B49F0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B49F0" w:rsidRPr="00D97F0A">
              <w:rPr>
                <w:rStyle w:val="Hypertextovodkaz"/>
                <w:noProof/>
              </w:rPr>
              <w:t>Legislativa</w:t>
            </w:r>
            <w:r w:rsidR="004B49F0">
              <w:rPr>
                <w:noProof/>
                <w:webHidden/>
              </w:rPr>
              <w:tab/>
            </w:r>
            <w:r w:rsidR="004B49F0">
              <w:rPr>
                <w:noProof/>
                <w:webHidden/>
              </w:rPr>
              <w:fldChar w:fldCharType="begin"/>
            </w:r>
            <w:r w:rsidR="004B49F0">
              <w:rPr>
                <w:noProof/>
                <w:webHidden/>
              </w:rPr>
              <w:instrText xml:space="preserve"> PAGEREF _Toc162512839 \h </w:instrText>
            </w:r>
            <w:r w:rsidR="004B49F0">
              <w:rPr>
                <w:noProof/>
                <w:webHidden/>
              </w:rPr>
            </w:r>
            <w:r w:rsidR="004B49F0">
              <w:rPr>
                <w:noProof/>
                <w:webHidden/>
              </w:rPr>
              <w:fldChar w:fldCharType="separate"/>
            </w:r>
            <w:r w:rsidR="004B49F0">
              <w:rPr>
                <w:noProof/>
                <w:webHidden/>
              </w:rPr>
              <w:t>4</w:t>
            </w:r>
            <w:r w:rsidR="004B49F0">
              <w:rPr>
                <w:noProof/>
                <w:webHidden/>
              </w:rPr>
              <w:fldChar w:fldCharType="end"/>
            </w:r>
          </w:hyperlink>
        </w:p>
        <w:p w14:paraId="6F80D506" w14:textId="14397D3E" w:rsidR="004B49F0" w:rsidRDefault="00185795">
          <w:pPr>
            <w:pStyle w:val="Obsah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62512840" w:history="1">
            <w:r w:rsidR="004B49F0" w:rsidRPr="00D97F0A">
              <w:rPr>
                <w:rStyle w:val="Hypertextovodkaz"/>
                <w:noProof/>
              </w:rPr>
              <w:t>3.</w:t>
            </w:r>
            <w:r w:rsidR="004B49F0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B49F0" w:rsidRPr="00D97F0A">
              <w:rPr>
                <w:rStyle w:val="Hypertextovodkaz"/>
                <w:noProof/>
              </w:rPr>
              <w:t>Základní teze</w:t>
            </w:r>
            <w:r w:rsidR="004B49F0">
              <w:rPr>
                <w:noProof/>
                <w:webHidden/>
              </w:rPr>
              <w:tab/>
            </w:r>
            <w:r w:rsidR="004B49F0">
              <w:rPr>
                <w:noProof/>
                <w:webHidden/>
              </w:rPr>
              <w:fldChar w:fldCharType="begin"/>
            </w:r>
            <w:r w:rsidR="004B49F0">
              <w:rPr>
                <w:noProof/>
                <w:webHidden/>
              </w:rPr>
              <w:instrText xml:space="preserve"> PAGEREF _Toc162512840 \h </w:instrText>
            </w:r>
            <w:r w:rsidR="004B49F0">
              <w:rPr>
                <w:noProof/>
                <w:webHidden/>
              </w:rPr>
            </w:r>
            <w:r w:rsidR="004B49F0">
              <w:rPr>
                <w:noProof/>
                <w:webHidden/>
              </w:rPr>
              <w:fldChar w:fldCharType="separate"/>
            </w:r>
            <w:r w:rsidR="004B49F0">
              <w:rPr>
                <w:noProof/>
                <w:webHidden/>
              </w:rPr>
              <w:t>5</w:t>
            </w:r>
            <w:r w:rsidR="004B49F0">
              <w:rPr>
                <w:noProof/>
                <w:webHidden/>
              </w:rPr>
              <w:fldChar w:fldCharType="end"/>
            </w:r>
          </w:hyperlink>
        </w:p>
        <w:p w14:paraId="3C792F1B" w14:textId="3B228B7A" w:rsidR="004B49F0" w:rsidRDefault="00185795">
          <w:pPr>
            <w:pStyle w:val="Obsah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62512841" w:history="1">
            <w:r w:rsidR="004B49F0" w:rsidRPr="00D97F0A">
              <w:rPr>
                <w:rStyle w:val="Hypertextovodkaz"/>
                <w:noProof/>
              </w:rPr>
              <w:t>4.</w:t>
            </w:r>
            <w:r w:rsidR="004B49F0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B49F0" w:rsidRPr="00D97F0A">
              <w:rPr>
                <w:rStyle w:val="Hypertextovodkaz"/>
                <w:noProof/>
              </w:rPr>
              <w:t>Požadavky</w:t>
            </w:r>
            <w:r w:rsidR="004B49F0">
              <w:rPr>
                <w:noProof/>
                <w:webHidden/>
              </w:rPr>
              <w:tab/>
            </w:r>
            <w:r w:rsidR="004B49F0">
              <w:rPr>
                <w:noProof/>
                <w:webHidden/>
              </w:rPr>
              <w:fldChar w:fldCharType="begin"/>
            </w:r>
            <w:r w:rsidR="004B49F0">
              <w:rPr>
                <w:noProof/>
                <w:webHidden/>
              </w:rPr>
              <w:instrText xml:space="preserve"> PAGEREF _Toc162512841 \h </w:instrText>
            </w:r>
            <w:r w:rsidR="004B49F0">
              <w:rPr>
                <w:noProof/>
                <w:webHidden/>
              </w:rPr>
            </w:r>
            <w:r w:rsidR="004B49F0">
              <w:rPr>
                <w:noProof/>
                <w:webHidden/>
              </w:rPr>
              <w:fldChar w:fldCharType="separate"/>
            </w:r>
            <w:r w:rsidR="004B49F0">
              <w:rPr>
                <w:noProof/>
                <w:webHidden/>
              </w:rPr>
              <w:t>5</w:t>
            </w:r>
            <w:r w:rsidR="004B49F0">
              <w:rPr>
                <w:noProof/>
                <w:webHidden/>
              </w:rPr>
              <w:fldChar w:fldCharType="end"/>
            </w:r>
          </w:hyperlink>
        </w:p>
        <w:p w14:paraId="1010F641" w14:textId="5884CDD9" w:rsidR="004B49F0" w:rsidRDefault="00185795">
          <w:pPr>
            <w:pStyle w:val="Obsah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62512842" w:history="1">
            <w:r w:rsidR="004B49F0" w:rsidRPr="00D97F0A">
              <w:rPr>
                <w:rStyle w:val="Hypertextovodkaz"/>
                <w:noProof/>
              </w:rPr>
              <w:t>5.</w:t>
            </w:r>
            <w:r w:rsidR="004B49F0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B49F0" w:rsidRPr="00D97F0A">
              <w:rPr>
                <w:rStyle w:val="Hypertextovodkaz"/>
                <w:noProof/>
              </w:rPr>
              <w:t>Účinnost</w:t>
            </w:r>
            <w:r w:rsidR="004B49F0">
              <w:rPr>
                <w:noProof/>
                <w:webHidden/>
              </w:rPr>
              <w:tab/>
            </w:r>
            <w:r w:rsidR="004B49F0">
              <w:rPr>
                <w:noProof/>
                <w:webHidden/>
              </w:rPr>
              <w:fldChar w:fldCharType="begin"/>
            </w:r>
            <w:r w:rsidR="004B49F0">
              <w:rPr>
                <w:noProof/>
                <w:webHidden/>
              </w:rPr>
              <w:instrText xml:space="preserve"> PAGEREF _Toc162512842 \h </w:instrText>
            </w:r>
            <w:r w:rsidR="004B49F0">
              <w:rPr>
                <w:noProof/>
                <w:webHidden/>
              </w:rPr>
            </w:r>
            <w:r w:rsidR="004B49F0">
              <w:rPr>
                <w:noProof/>
                <w:webHidden/>
              </w:rPr>
              <w:fldChar w:fldCharType="separate"/>
            </w:r>
            <w:r w:rsidR="004B49F0">
              <w:rPr>
                <w:noProof/>
                <w:webHidden/>
              </w:rPr>
              <w:t>6</w:t>
            </w:r>
            <w:r w:rsidR="004B49F0">
              <w:rPr>
                <w:noProof/>
                <w:webHidden/>
              </w:rPr>
              <w:fldChar w:fldCharType="end"/>
            </w:r>
          </w:hyperlink>
        </w:p>
        <w:p w14:paraId="75C3CE1D" w14:textId="707F2D6A" w:rsidR="004B49F0" w:rsidRDefault="00185795">
          <w:pPr>
            <w:pStyle w:val="Obsah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62512843" w:history="1">
            <w:r w:rsidR="004B49F0" w:rsidRPr="00D97F0A">
              <w:rPr>
                <w:rStyle w:val="Hypertextovodkaz"/>
                <w:noProof/>
              </w:rPr>
              <w:t>6.</w:t>
            </w:r>
            <w:r w:rsidR="004B49F0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B49F0" w:rsidRPr="00D97F0A">
              <w:rPr>
                <w:rStyle w:val="Hypertextovodkaz"/>
                <w:noProof/>
              </w:rPr>
              <w:t>Kontrolní a sankční systém a uplatňování sankcí podle článků nařízení (EU) 2021/2116</w:t>
            </w:r>
            <w:r w:rsidR="004B49F0">
              <w:rPr>
                <w:noProof/>
                <w:webHidden/>
              </w:rPr>
              <w:tab/>
            </w:r>
            <w:r w:rsidR="004B49F0">
              <w:rPr>
                <w:noProof/>
                <w:webHidden/>
              </w:rPr>
              <w:fldChar w:fldCharType="begin"/>
            </w:r>
            <w:r w:rsidR="004B49F0">
              <w:rPr>
                <w:noProof/>
                <w:webHidden/>
              </w:rPr>
              <w:instrText xml:space="preserve"> PAGEREF _Toc162512843 \h </w:instrText>
            </w:r>
            <w:r w:rsidR="004B49F0">
              <w:rPr>
                <w:noProof/>
                <w:webHidden/>
              </w:rPr>
            </w:r>
            <w:r w:rsidR="004B49F0">
              <w:rPr>
                <w:noProof/>
                <w:webHidden/>
              </w:rPr>
              <w:fldChar w:fldCharType="separate"/>
            </w:r>
            <w:r w:rsidR="004B49F0">
              <w:rPr>
                <w:noProof/>
                <w:webHidden/>
              </w:rPr>
              <w:t>7</w:t>
            </w:r>
            <w:r w:rsidR="004B49F0">
              <w:rPr>
                <w:noProof/>
                <w:webHidden/>
              </w:rPr>
              <w:fldChar w:fldCharType="end"/>
            </w:r>
          </w:hyperlink>
        </w:p>
        <w:p w14:paraId="73C718B5" w14:textId="3CB60EB6" w:rsidR="004B49F0" w:rsidRDefault="00185795">
          <w:pPr>
            <w:pStyle w:val="Obsah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62512844" w:history="1">
            <w:r w:rsidR="004B49F0" w:rsidRPr="00D97F0A">
              <w:rPr>
                <w:rStyle w:val="Hypertextovodkaz"/>
                <w:noProof/>
              </w:rPr>
              <w:t>7.</w:t>
            </w:r>
            <w:r w:rsidR="004B49F0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B49F0" w:rsidRPr="00D97F0A">
              <w:rPr>
                <w:rStyle w:val="Hypertextovodkaz"/>
                <w:noProof/>
              </w:rPr>
              <w:t>Strategický plán ČR 2023-2027</w:t>
            </w:r>
            <w:r w:rsidR="004B49F0">
              <w:rPr>
                <w:noProof/>
                <w:webHidden/>
              </w:rPr>
              <w:tab/>
            </w:r>
            <w:r w:rsidR="004B49F0">
              <w:rPr>
                <w:noProof/>
                <w:webHidden/>
              </w:rPr>
              <w:fldChar w:fldCharType="begin"/>
            </w:r>
            <w:r w:rsidR="004B49F0">
              <w:rPr>
                <w:noProof/>
                <w:webHidden/>
              </w:rPr>
              <w:instrText xml:space="preserve"> PAGEREF _Toc162512844 \h </w:instrText>
            </w:r>
            <w:r w:rsidR="004B49F0">
              <w:rPr>
                <w:noProof/>
                <w:webHidden/>
              </w:rPr>
            </w:r>
            <w:r w:rsidR="004B49F0">
              <w:rPr>
                <w:noProof/>
                <w:webHidden/>
              </w:rPr>
              <w:fldChar w:fldCharType="separate"/>
            </w:r>
            <w:r w:rsidR="004B49F0">
              <w:rPr>
                <w:noProof/>
                <w:webHidden/>
              </w:rPr>
              <w:t>8</w:t>
            </w:r>
            <w:r w:rsidR="004B49F0">
              <w:rPr>
                <w:noProof/>
                <w:webHidden/>
              </w:rPr>
              <w:fldChar w:fldCharType="end"/>
            </w:r>
          </w:hyperlink>
        </w:p>
        <w:p w14:paraId="380BC06E" w14:textId="6EC9A537" w:rsidR="004B49F0" w:rsidRDefault="00185795">
          <w:pPr>
            <w:pStyle w:val="Obsah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62512845" w:history="1">
            <w:r w:rsidR="004B49F0" w:rsidRPr="00D97F0A">
              <w:rPr>
                <w:rStyle w:val="Hypertextovodkaz"/>
                <w:noProof/>
              </w:rPr>
              <w:t>8.</w:t>
            </w:r>
            <w:r w:rsidR="004B49F0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B49F0" w:rsidRPr="00D97F0A">
              <w:rPr>
                <w:rStyle w:val="Hypertextovodkaz"/>
                <w:noProof/>
              </w:rPr>
              <w:t>Státy, které již uplatňují Sociální podmíněnost / informace</w:t>
            </w:r>
            <w:r w:rsidR="004B49F0">
              <w:rPr>
                <w:noProof/>
                <w:webHidden/>
              </w:rPr>
              <w:tab/>
            </w:r>
            <w:r w:rsidR="004B49F0">
              <w:rPr>
                <w:noProof/>
                <w:webHidden/>
              </w:rPr>
              <w:fldChar w:fldCharType="begin"/>
            </w:r>
            <w:r w:rsidR="004B49F0">
              <w:rPr>
                <w:noProof/>
                <w:webHidden/>
              </w:rPr>
              <w:instrText xml:space="preserve"> PAGEREF _Toc162512845 \h </w:instrText>
            </w:r>
            <w:r w:rsidR="004B49F0">
              <w:rPr>
                <w:noProof/>
                <w:webHidden/>
              </w:rPr>
            </w:r>
            <w:r w:rsidR="004B49F0">
              <w:rPr>
                <w:noProof/>
                <w:webHidden/>
              </w:rPr>
              <w:fldChar w:fldCharType="separate"/>
            </w:r>
            <w:r w:rsidR="004B49F0">
              <w:rPr>
                <w:noProof/>
                <w:webHidden/>
              </w:rPr>
              <w:t>8</w:t>
            </w:r>
            <w:r w:rsidR="004B49F0">
              <w:rPr>
                <w:noProof/>
                <w:webHidden/>
              </w:rPr>
              <w:fldChar w:fldCharType="end"/>
            </w:r>
          </w:hyperlink>
        </w:p>
        <w:p w14:paraId="35E20C5C" w14:textId="56E30C49" w:rsidR="004B49F0" w:rsidRDefault="00185795">
          <w:pPr>
            <w:pStyle w:val="Obsah1"/>
            <w:tabs>
              <w:tab w:val="left" w:pos="44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62512846" w:history="1">
            <w:r w:rsidR="004B49F0" w:rsidRPr="00D97F0A">
              <w:rPr>
                <w:rStyle w:val="Hypertextovodkaz"/>
                <w:noProof/>
              </w:rPr>
              <w:t>9.</w:t>
            </w:r>
            <w:r w:rsidR="004B49F0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B49F0" w:rsidRPr="00D97F0A">
              <w:rPr>
                <w:rStyle w:val="Hypertextovodkaz"/>
                <w:noProof/>
              </w:rPr>
              <w:t>Výňatky z informace MPSV pro stanovené 3 směrnice</w:t>
            </w:r>
            <w:r w:rsidR="004B49F0">
              <w:rPr>
                <w:noProof/>
                <w:webHidden/>
              </w:rPr>
              <w:tab/>
            </w:r>
            <w:r w:rsidR="004B49F0">
              <w:rPr>
                <w:noProof/>
                <w:webHidden/>
              </w:rPr>
              <w:fldChar w:fldCharType="begin"/>
            </w:r>
            <w:r w:rsidR="004B49F0">
              <w:rPr>
                <w:noProof/>
                <w:webHidden/>
              </w:rPr>
              <w:instrText xml:space="preserve"> PAGEREF _Toc162512846 \h </w:instrText>
            </w:r>
            <w:r w:rsidR="004B49F0">
              <w:rPr>
                <w:noProof/>
                <w:webHidden/>
              </w:rPr>
            </w:r>
            <w:r w:rsidR="004B49F0">
              <w:rPr>
                <w:noProof/>
                <w:webHidden/>
              </w:rPr>
              <w:fldChar w:fldCharType="separate"/>
            </w:r>
            <w:r w:rsidR="004B49F0">
              <w:rPr>
                <w:noProof/>
                <w:webHidden/>
              </w:rPr>
              <w:t>10</w:t>
            </w:r>
            <w:r w:rsidR="004B49F0">
              <w:rPr>
                <w:noProof/>
                <w:webHidden/>
              </w:rPr>
              <w:fldChar w:fldCharType="end"/>
            </w:r>
          </w:hyperlink>
        </w:p>
        <w:p w14:paraId="3C00FB71" w14:textId="6701E49E" w:rsidR="004B49F0" w:rsidRDefault="00185795">
          <w:pPr>
            <w:pStyle w:val="Obsah1"/>
            <w:tabs>
              <w:tab w:val="left" w:pos="6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62512847" w:history="1">
            <w:r w:rsidR="004B49F0" w:rsidRPr="00D97F0A">
              <w:rPr>
                <w:rStyle w:val="Hypertextovodkaz"/>
                <w:noProof/>
              </w:rPr>
              <w:t>10.</w:t>
            </w:r>
            <w:r w:rsidR="004B49F0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B49F0" w:rsidRPr="00D97F0A">
              <w:rPr>
                <w:rStyle w:val="Hypertextovodkaz"/>
                <w:noProof/>
              </w:rPr>
              <w:t>Dotazy ČS, odpovědi EK</w:t>
            </w:r>
            <w:r w:rsidR="004B49F0">
              <w:rPr>
                <w:noProof/>
                <w:webHidden/>
              </w:rPr>
              <w:tab/>
            </w:r>
            <w:r w:rsidR="004B49F0">
              <w:rPr>
                <w:noProof/>
                <w:webHidden/>
              </w:rPr>
              <w:fldChar w:fldCharType="begin"/>
            </w:r>
            <w:r w:rsidR="004B49F0">
              <w:rPr>
                <w:noProof/>
                <w:webHidden/>
              </w:rPr>
              <w:instrText xml:space="preserve"> PAGEREF _Toc162512847 \h </w:instrText>
            </w:r>
            <w:r w:rsidR="004B49F0">
              <w:rPr>
                <w:noProof/>
                <w:webHidden/>
              </w:rPr>
            </w:r>
            <w:r w:rsidR="004B49F0">
              <w:rPr>
                <w:noProof/>
                <w:webHidden/>
              </w:rPr>
              <w:fldChar w:fldCharType="separate"/>
            </w:r>
            <w:r w:rsidR="004B49F0">
              <w:rPr>
                <w:noProof/>
                <w:webHidden/>
              </w:rPr>
              <w:t>11</w:t>
            </w:r>
            <w:r w:rsidR="004B49F0">
              <w:rPr>
                <w:noProof/>
                <w:webHidden/>
              </w:rPr>
              <w:fldChar w:fldCharType="end"/>
            </w:r>
          </w:hyperlink>
        </w:p>
        <w:p w14:paraId="0CBAE59C" w14:textId="7AB526F3" w:rsidR="004B49F0" w:rsidRDefault="00185795">
          <w:pPr>
            <w:pStyle w:val="Obsah1"/>
            <w:tabs>
              <w:tab w:val="left" w:pos="660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62512848" w:history="1">
            <w:r w:rsidR="004B49F0" w:rsidRPr="00D97F0A">
              <w:rPr>
                <w:rStyle w:val="Hypertextovodkaz"/>
                <w:noProof/>
              </w:rPr>
              <w:t>11.</w:t>
            </w:r>
            <w:r w:rsidR="004B49F0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4B49F0" w:rsidRPr="00D97F0A">
              <w:rPr>
                <w:rStyle w:val="Hypertextovodkaz"/>
                <w:noProof/>
              </w:rPr>
              <w:t>Další nutné kroky pro nastavení systému</w:t>
            </w:r>
            <w:r w:rsidR="004B49F0">
              <w:rPr>
                <w:noProof/>
                <w:webHidden/>
              </w:rPr>
              <w:tab/>
            </w:r>
            <w:r w:rsidR="004B49F0">
              <w:rPr>
                <w:noProof/>
                <w:webHidden/>
              </w:rPr>
              <w:fldChar w:fldCharType="begin"/>
            </w:r>
            <w:r w:rsidR="004B49F0">
              <w:rPr>
                <w:noProof/>
                <w:webHidden/>
              </w:rPr>
              <w:instrText xml:space="preserve"> PAGEREF _Toc162512848 \h </w:instrText>
            </w:r>
            <w:r w:rsidR="004B49F0">
              <w:rPr>
                <w:noProof/>
                <w:webHidden/>
              </w:rPr>
            </w:r>
            <w:r w:rsidR="004B49F0">
              <w:rPr>
                <w:noProof/>
                <w:webHidden/>
              </w:rPr>
              <w:fldChar w:fldCharType="separate"/>
            </w:r>
            <w:r w:rsidR="004B49F0">
              <w:rPr>
                <w:noProof/>
                <w:webHidden/>
              </w:rPr>
              <w:t>14</w:t>
            </w:r>
            <w:r w:rsidR="004B49F0">
              <w:rPr>
                <w:noProof/>
                <w:webHidden/>
              </w:rPr>
              <w:fldChar w:fldCharType="end"/>
            </w:r>
          </w:hyperlink>
        </w:p>
        <w:p w14:paraId="3313E822" w14:textId="07B8963E" w:rsidR="00B72300" w:rsidRDefault="00B72300">
          <w:r w:rsidRPr="003202F9">
            <w:rPr>
              <w:b/>
              <w:bCs/>
              <w:szCs w:val="24"/>
            </w:rPr>
            <w:fldChar w:fldCharType="end"/>
          </w:r>
        </w:p>
      </w:sdtContent>
    </w:sdt>
    <w:p w14:paraId="7319F755" w14:textId="77777777" w:rsidR="00BD0D4D" w:rsidRDefault="00BD0D4D">
      <w:pPr>
        <w:rPr>
          <w:b/>
          <w:bCs/>
          <w:szCs w:val="24"/>
          <w:u w:val="single"/>
        </w:rPr>
      </w:pPr>
    </w:p>
    <w:p w14:paraId="14E8A0D6" w14:textId="77777777" w:rsidR="00BD0D4D" w:rsidRDefault="00BD0D4D">
      <w:pPr>
        <w:rPr>
          <w:b/>
          <w:bCs/>
          <w:szCs w:val="24"/>
          <w:u w:val="single"/>
        </w:rPr>
      </w:pPr>
    </w:p>
    <w:p w14:paraId="291CFE5A" w14:textId="77777777" w:rsidR="00BD0D4D" w:rsidRDefault="00BD0D4D">
      <w:pPr>
        <w:rPr>
          <w:b/>
          <w:bCs/>
          <w:szCs w:val="24"/>
          <w:u w:val="single"/>
        </w:rPr>
      </w:pPr>
    </w:p>
    <w:p w14:paraId="0C8C7348" w14:textId="77777777" w:rsidR="00BD0D4D" w:rsidRDefault="00BD0D4D">
      <w:pPr>
        <w:rPr>
          <w:b/>
          <w:bCs/>
          <w:szCs w:val="24"/>
          <w:u w:val="single"/>
        </w:rPr>
      </w:pPr>
    </w:p>
    <w:p w14:paraId="4A2ECC94" w14:textId="77777777" w:rsidR="00BD0D4D" w:rsidRDefault="00BD0D4D">
      <w:pPr>
        <w:rPr>
          <w:b/>
          <w:bCs/>
          <w:szCs w:val="24"/>
          <w:u w:val="single"/>
        </w:rPr>
      </w:pPr>
    </w:p>
    <w:p w14:paraId="2BDF9BDA" w14:textId="77777777" w:rsidR="00BD0D4D" w:rsidRDefault="00BD0D4D">
      <w:pPr>
        <w:rPr>
          <w:b/>
          <w:bCs/>
          <w:szCs w:val="24"/>
          <w:u w:val="single"/>
        </w:rPr>
      </w:pPr>
    </w:p>
    <w:p w14:paraId="67BD0CCE" w14:textId="77777777" w:rsidR="00BD0D4D" w:rsidRDefault="00BD0D4D">
      <w:pPr>
        <w:rPr>
          <w:b/>
          <w:bCs/>
          <w:szCs w:val="24"/>
          <w:u w:val="single"/>
        </w:rPr>
      </w:pPr>
    </w:p>
    <w:p w14:paraId="6A35F68A" w14:textId="77777777" w:rsidR="00BD0D4D" w:rsidRDefault="00BD0D4D">
      <w:pPr>
        <w:rPr>
          <w:b/>
          <w:bCs/>
          <w:szCs w:val="24"/>
          <w:u w:val="single"/>
        </w:rPr>
      </w:pPr>
    </w:p>
    <w:p w14:paraId="1354FDED" w14:textId="77777777" w:rsidR="00BD0D4D" w:rsidRDefault="00BD0D4D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br w:type="page"/>
      </w:r>
    </w:p>
    <w:p w14:paraId="78307BC0" w14:textId="644523DE" w:rsidR="003202F9" w:rsidRPr="003202F9" w:rsidRDefault="003202F9" w:rsidP="00B45D88">
      <w:pPr>
        <w:pStyle w:val="Nadpis1"/>
        <w:numPr>
          <w:ilvl w:val="0"/>
          <w:numId w:val="19"/>
        </w:numPr>
        <w:ind w:left="284" w:hanging="284"/>
      </w:pPr>
      <w:bookmarkStart w:id="0" w:name="_Toc162512838"/>
      <w:r w:rsidRPr="003202F9">
        <w:lastRenderedPageBreak/>
        <w:t>Úvod</w:t>
      </w:r>
      <w:bookmarkEnd w:id="0"/>
    </w:p>
    <w:p w14:paraId="2CD0B1B3" w14:textId="231096BC" w:rsidR="00D312A7" w:rsidRDefault="003202F9" w:rsidP="00E4505E">
      <w:pPr>
        <w:spacing w:after="120" w:line="312" w:lineRule="auto"/>
        <w:ind w:firstLine="426"/>
        <w:jc w:val="both"/>
        <w:rPr>
          <w:b/>
          <w:bCs/>
        </w:rPr>
      </w:pPr>
      <w:r w:rsidRPr="003202F9">
        <w:t xml:space="preserve">Pracovní skupině Monitorovacího výboru Strategického plánu SZP se předkládá </w:t>
      </w:r>
      <w:r>
        <w:br/>
      </w:r>
      <w:r w:rsidRPr="003202F9">
        <w:t>k projednání materiál, který</w:t>
      </w:r>
      <w:r w:rsidR="00D312A7">
        <w:t xml:space="preserve">m se představují základní požadavky, které má zahrnovat systém </w:t>
      </w:r>
      <w:r w:rsidR="00D312A7" w:rsidRPr="00D312A7">
        <w:rPr>
          <w:b/>
          <w:bCs/>
        </w:rPr>
        <w:t xml:space="preserve">Sociální </w:t>
      </w:r>
      <w:proofErr w:type="spellStart"/>
      <w:r w:rsidR="00D312A7" w:rsidRPr="00D312A7">
        <w:rPr>
          <w:b/>
          <w:bCs/>
        </w:rPr>
        <w:t>kondicionality</w:t>
      </w:r>
      <w:proofErr w:type="spellEnd"/>
      <w:r w:rsidR="00D312A7">
        <w:rPr>
          <w:b/>
          <w:bCs/>
        </w:rPr>
        <w:t xml:space="preserve">. </w:t>
      </w:r>
    </w:p>
    <w:p w14:paraId="363BC13F" w14:textId="570751B3" w:rsidR="00D312A7" w:rsidRPr="00D312A7" w:rsidRDefault="00D312A7" w:rsidP="00E4505E">
      <w:pPr>
        <w:spacing w:after="120" w:line="312" w:lineRule="auto"/>
        <w:ind w:firstLine="426"/>
        <w:jc w:val="both"/>
      </w:pPr>
      <w:r w:rsidRPr="00D312A7">
        <w:t>Jedná se o zcela nov</w:t>
      </w:r>
      <w:r>
        <w:t xml:space="preserve">é podmínky </w:t>
      </w:r>
      <w:r w:rsidRPr="00035912">
        <w:rPr>
          <w:b/>
          <w:bCs/>
        </w:rPr>
        <w:t xml:space="preserve">z oblasti </w:t>
      </w:r>
      <w:r w:rsidR="00035912" w:rsidRPr="00035912">
        <w:rPr>
          <w:b/>
          <w:bCs/>
        </w:rPr>
        <w:t xml:space="preserve">sociálních, pracovněprávních předpisů </w:t>
      </w:r>
      <w:r w:rsidR="00E4505E">
        <w:rPr>
          <w:b/>
          <w:bCs/>
        </w:rPr>
        <w:br/>
      </w:r>
      <w:r w:rsidR="00035912" w:rsidRPr="00035912">
        <w:rPr>
          <w:b/>
          <w:bCs/>
        </w:rPr>
        <w:t>a pracovních norem</w:t>
      </w:r>
      <w:r w:rsidR="00035912">
        <w:t xml:space="preserve">, které mají stejně jako podmínky podmíněnosti týkající se </w:t>
      </w:r>
      <w:r w:rsidR="00035912" w:rsidRPr="00035912">
        <w:t>klimatu</w:t>
      </w:r>
      <w:r w:rsidR="00035912">
        <w:t xml:space="preserve">, životního prostředí, ochrany </w:t>
      </w:r>
      <w:r w:rsidR="00035912" w:rsidRPr="00035912">
        <w:t>vody, půdy a biologické rozmanitosti</w:t>
      </w:r>
      <w:r w:rsidR="00035912">
        <w:t xml:space="preserve"> (standardy DZES) </w:t>
      </w:r>
      <w:r w:rsidR="00E4505E">
        <w:br/>
      </w:r>
      <w:r w:rsidR="00035912">
        <w:t xml:space="preserve">a </w:t>
      </w:r>
      <w:r w:rsidR="00035912" w:rsidRPr="00035912">
        <w:t>životního prostředí, veřejného zdraví, zdraví rostlin a dobrých životních podmínek zvířat</w:t>
      </w:r>
      <w:r w:rsidR="00035912">
        <w:t xml:space="preserve"> (povinné požadavky na hospodaření) </w:t>
      </w:r>
      <w:r w:rsidR="00035912" w:rsidRPr="00103039">
        <w:rPr>
          <w:b/>
          <w:bCs/>
        </w:rPr>
        <w:t>podmiňovat poskytování zemědělských podpor</w:t>
      </w:r>
      <w:r w:rsidR="00035912">
        <w:t xml:space="preserve"> v plné výši.</w:t>
      </w:r>
    </w:p>
    <w:p w14:paraId="5355E169" w14:textId="43B8159E" w:rsidR="003202F9" w:rsidRDefault="00035912" w:rsidP="00E4505E">
      <w:pPr>
        <w:spacing w:after="120" w:line="312" w:lineRule="auto"/>
        <w:ind w:firstLine="426"/>
        <w:jc w:val="both"/>
      </w:pPr>
      <w:r>
        <w:t>M</w:t>
      </w:r>
      <w:r w:rsidR="00D312A7" w:rsidRPr="00D312A7">
        <w:t>ateriál</w:t>
      </w:r>
      <w:r w:rsidR="00D312A7">
        <w:rPr>
          <w:b/>
          <w:bCs/>
        </w:rPr>
        <w:t xml:space="preserve"> </w:t>
      </w:r>
      <w:r>
        <w:rPr>
          <w:b/>
          <w:bCs/>
        </w:rPr>
        <w:t xml:space="preserve">zároveň </w:t>
      </w:r>
      <w:r w:rsidR="00D312A7" w:rsidRPr="00D312A7">
        <w:t>obsahuje</w:t>
      </w:r>
      <w:r w:rsidR="00D312A7">
        <w:t xml:space="preserve"> </w:t>
      </w:r>
      <w:r w:rsidR="00532F64">
        <w:t xml:space="preserve">základní </w:t>
      </w:r>
      <w:r w:rsidR="00103039">
        <w:t xml:space="preserve">informace </w:t>
      </w:r>
      <w:r w:rsidRPr="00035912">
        <w:t xml:space="preserve">pro nastavení </w:t>
      </w:r>
      <w:r w:rsidR="00103039">
        <w:t xml:space="preserve">systému </w:t>
      </w:r>
      <w:r w:rsidRPr="00035912">
        <w:t>a</w:t>
      </w:r>
      <w:r w:rsidR="00103039">
        <w:t xml:space="preserve"> pro</w:t>
      </w:r>
      <w:r w:rsidRPr="00035912">
        <w:t xml:space="preserve"> úkoly</w:t>
      </w:r>
      <w:r>
        <w:t>, které je nutné v průběhu roku 2024 učinit.</w:t>
      </w:r>
    </w:p>
    <w:p w14:paraId="4BFFFEB3" w14:textId="28F33134" w:rsidR="00EF40F7" w:rsidRPr="00EF40F7" w:rsidRDefault="00EF40F7" w:rsidP="00E4505E">
      <w:pPr>
        <w:spacing w:after="120" w:line="312" w:lineRule="auto"/>
        <w:ind w:firstLine="426"/>
        <w:jc w:val="both"/>
        <w:rPr>
          <w:b/>
          <w:bCs/>
        </w:rPr>
      </w:pPr>
      <w:r w:rsidRPr="00EF40F7">
        <w:rPr>
          <w:b/>
          <w:bCs/>
        </w:rPr>
        <w:t xml:space="preserve">Podmínky z oblasti právního práva a bezpečnosti práce mají být součástí </w:t>
      </w:r>
      <w:r w:rsidR="00D312A7">
        <w:rPr>
          <w:b/>
          <w:bCs/>
        </w:rPr>
        <w:t>podmínek pro</w:t>
      </w:r>
      <w:r>
        <w:rPr>
          <w:b/>
          <w:bCs/>
        </w:rPr>
        <w:t xml:space="preserve"> poskytování zemědělských dotací nejpozději 1.</w:t>
      </w:r>
      <w:r w:rsidR="00780D81">
        <w:rPr>
          <w:b/>
          <w:bCs/>
        </w:rPr>
        <w:t> </w:t>
      </w:r>
      <w:r>
        <w:rPr>
          <w:b/>
          <w:bCs/>
        </w:rPr>
        <w:t>1.</w:t>
      </w:r>
      <w:r w:rsidR="00780D81">
        <w:rPr>
          <w:b/>
          <w:bCs/>
        </w:rPr>
        <w:t> </w:t>
      </w:r>
      <w:r>
        <w:rPr>
          <w:b/>
          <w:bCs/>
        </w:rPr>
        <w:t>2025.</w:t>
      </w:r>
    </w:p>
    <w:p w14:paraId="67FF493A" w14:textId="4ED61F1C" w:rsidR="00EF40F7" w:rsidRDefault="00EF40F7" w:rsidP="00E4505E">
      <w:pPr>
        <w:spacing w:after="120" w:line="312" w:lineRule="auto"/>
        <w:ind w:firstLine="426"/>
        <w:jc w:val="both"/>
      </w:pPr>
      <w:r>
        <w:t>Odůvodnění zavedení podmínek Sociální podmíněnosti:</w:t>
      </w:r>
    </w:p>
    <w:p w14:paraId="187970C9" w14:textId="2CACC562" w:rsidR="00EF40F7" w:rsidRPr="00E4505E" w:rsidRDefault="00E4505E" w:rsidP="00E4505E">
      <w:pPr>
        <w:pStyle w:val="Odstavecseseznamem"/>
        <w:numPr>
          <w:ilvl w:val="0"/>
          <w:numId w:val="17"/>
        </w:numPr>
        <w:spacing w:after="120"/>
        <w:ind w:left="426" w:hanging="284"/>
        <w:contextualSpacing w:val="0"/>
        <w:jc w:val="both"/>
        <w:rPr>
          <w:i/>
          <w:iCs/>
          <w:szCs w:val="24"/>
        </w:rPr>
      </w:pPr>
      <w:r>
        <w:t>C</w:t>
      </w:r>
      <w:r w:rsidR="00EF40F7" w:rsidRPr="00E4505E">
        <w:rPr>
          <w:szCs w:val="24"/>
        </w:rPr>
        <w:t xml:space="preserve">ílem </w:t>
      </w:r>
      <w:r w:rsidRPr="00E4505E">
        <w:rPr>
          <w:szCs w:val="24"/>
        </w:rPr>
        <w:t>je „</w:t>
      </w:r>
      <w:r w:rsidR="00EF40F7" w:rsidRPr="00E4505E">
        <w:rPr>
          <w:b/>
          <w:bCs/>
          <w:szCs w:val="24"/>
        </w:rPr>
        <w:t>přispět k rozvoji sociálně udržitelného zemědělství</w:t>
      </w:r>
      <w:r w:rsidR="00EF40F7" w:rsidRPr="00E4505E">
        <w:rPr>
          <w:szCs w:val="24"/>
        </w:rPr>
        <w:t xml:space="preserve"> prostřednictvím zvyšování povědomí příjemců podpory poskytované v rámci SZP o pracovních </w:t>
      </w:r>
      <w:r>
        <w:rPr>
          <w:szCs w:val="24"/>
        </w:rPr>
        <w:br/>
      </w:r>
      <w:r w:rsidR="00EF40F7" w:rsidRPr="00E4505E">
        <w:rPr>
          <w:szCs w:val="24"/>
        </w:rPr>
        <w:t>a sociálních normách</w:t>
      </w:r>
      <w:r w:rsidRPr="00E4505E">
        <w:rPr>
          <w:szCs w:val="24"/>
        </w:rPr>
        <w:t xml:space="preserve">“. </w:t>
      </w:r>
      <w:bookmarkStart w:id="1" w:name="_Hlk161843455"/>
      <w:r w:rsidRPr="00E4505E">
        <w:rPr>
          <w:i/>
          <w:iCs/>
          <w:szCs w:val="24"/>
        </w:rPr>
        <w:t xml:space="preserve">(preambule (45) nařízení </w:t>
      </w:r>
      <w:proofErr w:type="spellStart"/>
      <w:r w:rsidRPr="00E4505E">
        <w:rPr>
          <w:i/>
          <w:iCs/>
          <w:szCs w:val="24"/>
        </w:rPr>
        <w:t>EPaR</w:t>
      </w:r>
      <w:proofErr w:type="spellEnd"/>
      <w:r w:rsidRPr="00E4505E">
        <w:rPr>
          <w:i/>
          <w:iCs/>
          <w:szCs w:val="24"/>
        </w:rPr>
        <w:t xml:space="preserve"> 2021/20116) </w:t>
      </w:r>
    </w:p>
    <w:bookmarkEnd w:id="1"/>
    <w:p w14:paraId="66441F80" w14:textId="7C101D5B" w:rsidR="00E4505E" w:rsidRDefault="008776E1" w:rsidP="00E4505E">
      <w:pPr>
        <w:pStyle w:val="Odstavecseseznamem"/>
        <w:numPr>
          <w:ilvl w:val="0"/>
          <w:numId w:val="17"/>
        </w:numPr>
        <w:spacing w:after="120"/>
        <w:ind w:left="426" w:hanging="284"/>
        <w:contextualSpacing w:val="0"/>
        <w:jc w:val="both"/>
        <w:rPr>
          <w:i/>
          <w:iCs/>
          <w:szCs w:val="24"/>
        </w:rPr>
      </w:pPr>
      <w:r w:rsidRPr="008776E1">
        <w:rPr>
          <w:szCs w:val="24"/>
        </w:rPr>
        <w:t>„</w:t>
      </w:r>
      <w:r w:rsidR="00E4505E" w:rsidRPr="00E4505E">
        <w:rPr>
          <w:b/>
          <w:bCs/>
          <w:szCs w:val="24"/>
        </w:rPr>
        <w:t>P</w:t>
      </w:r>
      <w:r w:rsidR="00EF40F7" w:rsidRPr="00E4505E">
        <w:rPr>
          <w:b/>
          <w:bCs/>
          <w:szCs w:val="24"/>
        </w:rPr>
        <w:t xml:space="preserve">lné čerpání </w:t>
      </w:r>
      <w:r w:rsidR="00EF40F7" w:rsidRPr="00E4505E">
        <w:rPr>
          <w:szCs w:val="24"/>
        </w:rPr>
        <w:t xml:space="preserve">přímých plateb v rámci SZP a plateb za závazky hospodaření týkající se oblastí životního prostředí, klimatu a jiných oblastí, plateb za přírodní omezení nebo jiná omezení specifická pro určité oblasti a plateb za znevýhodnění specifická pro konkrétní oblasti vyplývající z určitých závazných požadavků </w:t>
      </w:r>
      <w:r w:rsidR="00E4505E" w:rsidRPr="00E4505E">
        <w:rPr>
          <w:szCs w:val="24"/>
        </w:rPr>
        <w:t xml:space="preserve">by mělo být </w:t>
      </w:r>
      <w:r w:rsidR="00EF40F7" w:rsidRPr="00E4505E">
        <w:rPr>
          <w:b/>
          <w:bCs/>
          <w:szCs w:val="24"/>
        </w:rPr>
        <w:t xml:space="preserve">provázáno </w:t>
      </w:r>
      <w:r w:rsidR="00E4505E">
        <w:rPr>
          <w:b/>
          <w:bCs/>
          <w:szCs w:val="24"/>
        </w:rPr>
        <w:br/>
      </w:r>
      <w:r w:rsidR="00EF40F7" w:rsidRPr="00E4505E">
        <w:rPr>
          <w:b/>
          <w:bCs/>
          <w:szCs w:val="24"/>
        </w:rPr>
        <w:t xml:space="preserve">s dodržováním základních standardů, které se týkají pracovních podmínek </w:t>
      </w:r>
      <w:r w:rsidR="00E4505E">
        <w:rPr>
          <w:b/>
          <w:bCs/>
          <w:szCs w:val="24"/>
        </w:rPr>
        <w:br/>
      </w:r>
      <w:r w:rsidR="00EF40F7" w:rsidRPr="00E4505E">
        <w:rPr>
          <w:b/>
          <w:bCs/>
          <w:szCs w:val="24"/>
        </w:rPr>
        <w:t>a podmínek zaměstnávání pro pracovníky v zemědělství a bezpečnosti a ochrany zdraví při práci</w:t>
      </w:r>
      <w:r w:rsidR="00EF40F7" w:rsidRPr="00E4505E">
        <w:rPr>
          <w:szCs w:val="24"/>
        </w:rPr>
        <w:t>, ze strany zemědělců a jiných příjemců, a to zejména určitých standardů podle směrnice Rady 89/391/EHS a směrnic Evropského parlamentu a Rady 2009/104/ES a (EU) 2019/1152.</w:t>
      </w:r>
      <w:r>
        <w:rPr>
          <w:szCs w:val="24"/>
        </w:rPr>
        <w:t>“</w:t>
      </w:r>
      <w:r w:rsidR="00EF40F7" w:rsidRPr="00E4505E">
        <w:rPr>
          <w:szCs w:val="24"/>
        </w:rPr>
        <w:t xml:space="preserve"> </w:t>
      </w:r>
      <w:r w:rsidR="00E4505E" w:rsidRPr="00E4505E">
        <w:rPr>
          <w:i/>
          <w:iCs/>
          <w:szCs w:val="24"/>
        </w:rPr>
        <w:t xml:space="preserve">(preambule (46) nařízení </w:t>
      </w:r>
      <w:proofErr w:type="spellStart"/>
      <w:r w:rsidR="00E4505E" w:rsidRPr="00E4505E">
        <w:rPr>
          <w:i/>
          <w:iCs/>
          <w:szCs w:val="24"/>
        </w:rPr>
        <w:t>EPaR</w:t>
      </w:r>
      <w:proofErr w:type="spellEnd"/>
      <w:r w:rsidR="00E4505E" w:rsidRPr="00E4505E">
        <w:rPr>
          <w:i/>
          <w:iCs/>
          <w:szCs w:val="24"/>
        </w:rPr>
        <w:t xml:space="preserve"> 2021/20116) </w:t>
      </w:r>
    </w:p>
    <w:p w14:paraId="457B4469" w14:textId="1143211A" w:rsidR="00E4505E" w:rsidRPr="00E4505E" w:rsidRDefault="008776E1" w:rsidP="00E4505E">
      <w:pPr>
        <w:pStyle w:val="Odstavecseseznamem"/>
        <w:numPr>
          <w:ilvl w:val="0"/>
          <w:numId w:val="17"/>
        </w:numPr>
        <w:spacing w:after="120"/>
        <w:ind w:left="426" w:hanging="284"/>
        <w:contextualSpacing w:val="0"/>
        <w:jc w:val="both"/>
        <w:rPr>
          <w:i/>
          <w:iCs/>
          <w:szCs w:val="24"/>
        </w:rPr>
      </w:pPr>
      <w:r>
        <w:rPr>
          <w:szCs w:val="24"/>
        </w:rPr>
        <w:t>„</w:t>
      </w:r>
      <w:r w:rsidR="00EF40F7" w:rsidRPr="00E4505E">
        <w:rPr>
          <w:szCs w:val="24"/>
        </w:rPr>
        <w:t xml:space="preserve">Členské státy by měly zajistit </w:t>
      </w:r>
      <w:r w:rsidR="00EF40F7" w:rsidRPr="00E4505E">
        <w:rPr>
          <w:b/>
          <w:bCs/>
          <w:szCs w:val="24"/>
        </w:rPr>
        <w:t>uplatňování přiměřených, účinných a odrazujících sankcí</w:t>
      </w:r>
      <w:r w:rsidR="00EF40F7" w:rsidRPr="00E4505E">
        <w:rPr>
          <w:szCs w:val="24"/>
        </w:rPr>
        <w:t xml:space="preserve"> v souladu s nařízením (EU) 2021/2116 u zemědělců a jiných příjemců, kteří uvedené standardy nesplňují.</w:t>
      </w:r>
      <w:r>
        <w:rPr>
          <w:szCs w:val="24"/>
        </w:rPr>
        <w:t>“</w:t>
      </w:r>
      <w:r w:rsidR="00E4505E" w:rsidRPr="00E4505E">
        <w:rPr>
          <w:szCs w:val="24"/>
        </w:rPr>
        <w:t xml:space="preserve"> </w:t>
      </w:r>
      <w:r w:rsidR="00E4505E" w:rsidRPr="00E4505E">
        <w:rPr>
          <w:i/>
          <w:iCs/>
          <w:szCs w:val="24"/>
        </w:rPr>
        <w:t xml:space="preserve">(preambule (47) nařízení </w:t>
      </w:r>
      <w:proofErr w:type="spellStart"/>
      <w:r w:rsidR="00E4505E" w:rsidRPr="00E4505E">
        <w:rPr>
          <w:i/>
          <w:iCs/>
          <w:szCs w:val="24"/>
        </w:rPr>
        <w:t>EPaR</w:t>
      </w:r>
      <w:proofErr w:type="spellEnd"/>
      <w:r w:rsidR="00E4505E" w:rsidRPr="00E4505E">
        <w:rPr>
          <w:i/>
          <w:iCs/>
          <w:szCs w:val="24"/>
        </w:rPr>
        <w:t xml:space="preserve"> 2021/20116) </w:t>
      </w:r>
    </w:p>
    <w:p w14:paraId="05E88ECA" w14:textId="24FC3E99" w:rsidR="00EF40F7" w:rsidRPr="00EF40F7" w:rsidRDefault="00EF40F7" w:rsidP="00E4505E">
      <w:pPr>
        <w:spacing w:after="120" w:line="312" w:lineRule="auto"/>
        <w:jc w:val="both"/>
        <w:rPr>
          <w:szCs w:val="24"/>
        </w:rPr>
      </w:pPr>
    </w:p>
    <w:p w14:paraId="03E91C61" w14:textId="5A61762C" w:rsidR="003202F9" w:rsidRDefault="003202F9" w:rsidP="003202F9">
      <w:pPr>
        <w:spacing w:line="360" w:lineRule="auto"/>
        <w:jc w:val="both"/>
      </w:pPr>
      <w:r>
        <w:br w:type="page"/>
      </w:r>
    </w:p>
    <w:p w14:paraId="7133540F" w14:textId="3E34B016" w:rsidR="00EF40F7" w:rsidRPr="00EF40F7" w:rsidRDefault="007C384C" w:rsidP="00B45D88">
      <w:pPr>
        <w:pStyle w:val="Nadpis1"/>
        <w:numPr>
          <w:ilvl w:val="0"/>
          <w:numId w:val="19"/>
        </w:numPr>
        <w:ind w:left="284" w:hanging="284"/>
      </w:pPr>
      <w:bookmarkStart w:id="2" w:name="_Toc162512839"/>
      <w:r w:rsidRPr="006722A0">
        <w:lastRenderedPageBreak/>
        <w:t>Legislativa</w:t>
      </w:r>
      <w:bookmarkEnd w:id="2"/>
    </w:p>
    <w:p w14:paraId="5AE2E73C" w14:textId="07A2BE96" w:rsidR="00CF39A8" w:rsidRPr="004537A3" w:rsidRDefault="00CF39A8" w:rsidP="00CF39A8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 w:rsidRPr="004537A3">
        <w:rPr>
          <w:b/>
          <w:bCs/>
          <w:szCs w:val="24"/>
        </w:rPr>
        <w:t xml:space="preserve">Článek 14 </w:t>
      </w:r>
      <w:bookmarkStart w:id="3" w:name="_Hlk161853073"/>
      <w:bookmarkStart w:id="4" w:name="_Hlk161840531"/>
      <w:r w:rsidR="003202F9">
        <w:rPr>
          <w:b/>
          <w:bCs/>
          <w:szCs w:val="24"/>
        </w:rPr>
        <w:t>nařízení (EU)</w:t>
      </w:r>
      <w:r w:rsidR="005B76BE">
        <w:rPr>
          <w:b/>
          <w:bCs/>
          <w:szCs w:val="24"/>
        </w:rPr>
        <w:t xml:space="preserve"> </w:t>
      </w:r>
      <w:bookmarkEnd w:id="3"/>
      <w:r w:rsidRPr="004537A3">
        <w:rPr>
          <w:b/>
          <w:bCs/>
          <w:szCs w:val="24"/>
        </w:rPr>
        <w:t>2021/2115</w:t>
      </w:r>
      <w:bookmarkEnd w:id="4"/>
    </w:p>
    <w:p w14:paraId="38F5CAED" w14:textId="7920BB3E" w:rsidR="00CF39A8" w:rsidRDefault="00CF39A8" w:rsidP="003202F9">
      <w:pPr>
        <w:ind w:firstLine="709"/>
        <w:rPr>
          <w:b/>
          <w:bCs/>
          <w:color w:val="333333"/>
          <w:szCs w:val="24"/>
          <w:shd w:val="clear" w:color="auto" w:fill="FFFFFF"/>
        </w:rPr>
      </w:pPr>
      <w:r w:rsidRPr="00CF39A8">
        <w:rPr>
          <w:b/>
          <w:bCs/>
          <w:color w:val="333333"/>
          <w:szCs w:val="24"/>
          <w:shd w:val="clear" w:color="auto" w:fill="FFFFFF"/>
        </w:rPr>
        <w:t>Sociální podmíněnost</w:t>
      </w:r>
      <w:r>
        <w:rPr>
          <w:b/>
          <w:bCs/>
          <w:color w:val="333333"/>
          <w:szCs w:val="24"/>
          <w:shd w:val="clear" w:color="auto" w:fill="FFFFFF"/>
        </w:rPr>
        <w:t xml:space="preserve"> - </w:t>
      </w:r>
      <w:r w:rsidRPr="00CF39A8">
        <w:rPr>
          <w:b/>
          <w:bCs/>
          <w:color w:val="333333"/>
          <w:szCs w:val="24"/>
          <w:shd w:val="clear" w:color="auto" w:fill="FFFFFF"/>
        </w:rPr>
        <w:t>Zásada a oblast působnosti</w:t>
      </w:r>
    </w:p>
    <w:p w14:paraId="67113697" w14:textId="77777777" w:rsidR="00276127" w:rsidRPr="00CF39A8" w:rsidRDefault="00276127" w:rsidP="00F93601">
      <w:pPr>
        <w:jc w:val="both"/>
        <w:rPr>
          <w:szCs w:val="24"/>
        </w:rPr>
      </w:pPr>
    </w:p>
    <w:p w14:paraId="4215D504" w14:textId="478B7F78" w:rsidR="00BD0D4D" w:rsidRPr="00276127" w:rsidRDefault="00970302" w:rsidP="00276127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 w:rsidRPr="00CF39A8">
        <w:rPr>
          <w:b/>
          <w:bCs/>
          <w:szCs w:val="24"/>
        </w:rPr>
        <w:t>PŘÍLOHA IV</w:t>
      </w:r>
      <w:r w:rsidR="00CF39A8" w:rsidRPr="00CF39A8">
        <w:rPr>
          <w:b/>
          <w:bCs/>
          <w:szCs w:val="24"/>
        </w:rPr>
        <w:t xml:space="preserve"> </w:t>
      </w:r>
      <w:r w:rsidR="005B76BE" w:rsidRPr="005B76BE">
        <w:rPr>
          <w:b/>
          <w:bCs/>
          <w:szCs w:val="24"/>
        </w:rPr>
        <w:t xml:space="preserve">nařízení (EU) </w:t>
      </w:r>
      <w:r w:rsidR="00CF39A8" w:rsidRPr="00CF39A8">
        <w:rPr>
          <w:b/>
          <w:bCs/>
          <w:szCs w:val="24"/>
        </w:rPr>
        <w:t>2021/2115</w:t>
      </w:r>
    </w:p>
    <w:p w14:paraId="7E332613" w14:textId="2205E737" w:rsidR="00970302" w:rsidRPr="00BD0D4D" w:rsidRDefault="00970302" w:rsidP="003202F9">
      <w:pPr>
        <w:ind w:firstLine="709"/>
        <w:rPr>
          <w:b/>
          <w:bCs/>
        </w:rPr>
      </w:pPr>
      <w:r w:rsidRPr="00BD0D4D">
        <w:rPr>
          <w:b/>
          <w:bCs/>
        </w:rPr>
        <w:t>PRAVIDLA SOCIÁLNÍ PODMÍNĚNOSTI PODLE ČLÁNKU 14</w:t>
      </w:r>
    </w:p>
    <w:tbl>
      <w:tblPr>
        <w:tblStyle w:val="Mkatabulky"/>
        <w:tblW w:w="10065" w:type="dxa"/>
        <w:tblInd w:w="-289" w:type="dxa"/>
        <w:tblLook w:val="04A0" w:firstRow="1" w:lastRow="0" w:firstColumn="1" w:lastColumn="0" w:noHBand="0" w:noVBand="1"/>
      </w:tblPr>
      <w:tblGrid>
        <w:gridCol w:w="2269"/>
        <w:gridCol w:w="2835"/>
        <w:gridCol w:w="2247"/>
        <w:gridCol w:w="2714"/>
      </w:tblGrid>
      <w:tr w:rsidR="00970302" w14:paraId="064FC89C" w14:textId="5D710147" w:rsidTr="001C4FEE">
        <w:tc>
          <w:tcPr>
            <w:tcW w:w="2269" w:type="dxa"/>
          </w:tcPr>
          <w:p w14:paraId="115A0197" w14:textId="77777777" w:rsidR="00970302" w:rsidRPr="001C4FEE" w:rsidRDefault="00970302" w:rsidP="00970302">
            <w:pPr>
              <w:rPr>
                <w:b/>
                <w:bCs/>
                <w:szCs w:val="24"/>
              </w:rPr>
            </w:pPr>
            <w:r w:rsidRPr="001C4FEE">
              <w:rPr>
                <w:b/>
                <w:bCs/>
                <w:szCs w:val="24"/>
              </w:rPr>
              <w:t xml:space="preserve">Oblasti </w:t>
            </w:r>
          </w:p>
          <w:p w14:paraId="09D418C4" w14:textId="77777777" w:rsidR="00970302" w:rsidRDefault="00970302" w:rsidP="00970302">
            <w:pPr>
              <w:rPr>
                <w:szCs w:val="24"/>
              </w:rPr>
            </w:pPr>
          </w:p>
          <w:p w14:paraId="698D76D7" w14:textId="44FBC57D" w:rsidR="00970302" w:rsidRDefault="00970302" w:rsidP="00970302">
            <w:pPr>
              <w:rPr>
                <w:szCs w:val="24"/>
              </w:rPr>
            </w:pPr>
            <w:r w:rsidRPr="00970302">
              <w:rPr>
                <w:szCs w:val="24"/>
              </w:rPr>
              <w:t>Zaměstnanost</w:t>
            </w:r>
          </w:p>
        </w:tc>
        <w:tc>
          <w:tcPr>
            <w:tcW w:w="2835" w:type="dxa"/>
            <w:vAlign w:val="center"/>
          </w:tcPr>
          <w:p w14:paraId="731509CB" w14:textId="0111DDE6" w:rsidR="00970302" w:rsidRDefault="00970302" w:rsidP="001C4FEE">
            <w:pPr>
              <w:rPr>
                <w:szCs w:val="24"/>
              </w:rPr>
            </w:pPr>
            <w:r w:rsidRPr="00970302">
              <w:rPr>
                <w:szCs w:val="24"/>
              </w:rPr>
              <w:t>Transparentní a předvídatelné pracovní podmínky</w:t>
            </w:r>
          </w:p>
        </w:tc>
        <w:tc>
          <w:tcPr>
            <w:tcW w:w="2247" w:type="dxa"/>
          </w:tcPr>
          <w:p w14:paraId="3D279C3A" w14:textId="77777777" w:rsidR="00970302" w:rsidRDefault="00970302" w:rsidP="00970302">
            <w:pPr>
              <w:rPr>
                <w:szCs w:val="24"/>
              </w:rPr>
            </w:pPr>
            <w:r w:rsidRPr="00970302">
              <w:rPr>
                <w:szCs w:val="24"/>
              </w:rPr>
              <w:t xml:space="preserve">Směrnice </w:t>
            </w:r>
            <w:r w:rsidRPr="00970302">
              <w:rPr>
                <w:b/>
                <w:bCs/>
                <w:szCs w:val="24"/>
              </w:rPr>
              <w:t>2019/1152</w:t>
            </w:r>
          </w:p>
          <w:p w14:paraId="0925B2FA" w14:textId="671F7D1F" w:rsidR="00970302" w:rsidRDefault="00970302" w:rsidP="00970302">
            <w:pPr>
              <w:rPr>
                <w:szCs w:val="24"/>
              </w:rPr>
            </w:pPr>
            <w:r w:rsidRPr="00970302">
              <w:rPr>
                <w:szCs w:val="24"/>
              </w:rPr>
              <w:t>o transparentních a předvídatelných pracovních podmínkách v Evropské unii</w:t>
            </w:r>
          </w:p>
        </w:tc>
        <w:tc>
          <w:tcPr>
            <w:tcW w:w="2714" w:type="dxa"/>
          </w:tcPr>
          <w:p w14:paraId="1CCA632E" w14:textId="77777777" w:rsidR="00970302" w:rsidRDefault="00970302" w:rsidP="00970302">
            <w:pPr>
              <w:rPr>
                <w:szCs w:val="24"/>
              </w:rPr>
            </w:pPr>
            <w:r>
              <w:rPr>
                <w:szCs w:val="24"/>
              </w:rPr>
              <w:t>Články</w:t>
            </w:r>
          </w:p>
          <w:p w14:paraId="534AF322" w14:textId="25F4D2D7" w:rsidR="00970302" w:rsidRDefault="00970302" w:rsidP="00970302">
            <w:pPr>
              <w:rPr>
                <w:szCs w:val="24"/>
              </w:rPr>
            </w:pPr>
            <w:r>
              <w:rPr>
                <w:szCs w:val="24"/>
              </w:rPr>
              <w:t>3, 4, 5, 6, 8, 10 a 13</w:t>
            </w:r>
          </w:p>
        </w:tc>
      </w:tr>
      <w:tr w:rsidR="001C4FEE" w14:paraId="2B67F72F" w14:textId="7D5E403B" w:rsidTr="001C4FEE">
        <w:tc>
          <w:tcPr>
            <w:tcW w:w="2269" w:type="dxa"/>
            <w:vMerge w:val="restart"/>
            <w:vAlign w:val="center"/>
          </w:tcPr>
          <w:p w14:paraId="3DCFCD75" w14:textId="3BBED43F" w:rsidR="001C4FEE" w:rsidRDefault="001C4FEE" w:rsidP="001C4FEE">
            <w:pPr>
              <w:rPr>
                <w:szCs w:val="24"/>
              </w:rPr>
            </w:pPr>
            <w:r w:rsidRPr="00970302">
              <w:rPr>
                <w:szCs w:val="24"/>
              </w:rPr>
              <w:t>Ochrana zdraví a bezpečnost</w:t>
            </w:r>
          </w:p>
        </w:tc>
        <w:tc>
          <w:tcPr>
            <w:tcW w:w="2835" w:type="dxa"/>
            <w:vAlign w:val="center"/>
          </w:tcPr>
          <w:p w14:paraId="6809D19A" w14:textId="199CF77B" w:rsidR="001C4FEE" w:rsidRDefault="001C4FEE" w:rsidP="001C4FEE">
            <w:pPr>
              <w:rPr>
                <w:szCs w:val="24"/>
              </w:rPr>
            </w:pPr>
            <w:r w:rsidRPr="00970302">
              <w:rPr>
                <w:szCs w:val="24"/>
              </w:rPr>
              <w:t>Opatření na podporu zlepšení bezpečnosti a ochrany zdraví pracovníků</w:t>
            </w:r>
          </w:p>
        </w:tc>
        <w:tc>
          <w:tcPr>
            <w:tcW w:w="2247" w:type="dxa"/>
          </w:tcPr>
          <w:p w14:paraId="40D3DA87" w14:textId="77777777" w:rsidR="001C4FEE" w:rsidRDefault="001C4FEE" w:rsidP="00970302">
            <w:pPr>
              <w:rPr>
                <w:szCs w:val="24"/>
              </w:rPr>
            </w:pPr>
            <w:r w:rsidRPr="00970302">
              <w:rPr>
                <w:szCs w:val="24"/>
              </w:rPr>
              <w:t xml:space="preserve">Směrnice </w:t>
            </w:r>
            <w:r w:rsidRPr="00970302">
              <w:rPr>
                <w:b/>
                <w:bCs/>
                <w:szCs w:val="24"/>
              </w:rPr>
              <w:t>89/391/EHS</w:t>
            </w:r>
          </w:p>
          <w:p w14:paraId="5BBAE174" w14:textId="72711F45" w:rsidR="001C4FEE" w:rsidRDefault="001C4FEE" w:rsidP="00970302">
            <w:pPr>
              <w:rPr>
                <w:szCs w:val="24"/>
              </w:rPr>
            </w:pPr>
            <w:r w:rsidRPr="00970302">
              <w:rPr>
                <w:szCs w:val="24"/>
              </w:rPr>
              <w:t>o zavádění opatření pro zlepšení bezpečnosti a ochrany zdraví zaměstnanců při práci</w:t>
            </w:r>
          </w:p>
        </w:tc>
        <w:tc>
          <w:tcPr>
            <w:tcW w:w="2714" w:type="dxa"/>
          </w:tcPr>
          <w:p w14:paraId="4A3DF826" w14:textId="77777777" w:rsidR="001C4FEE" w:rsidRDefault="001C4FEE" w:rsidP="00970302">
            <w:pPr>
              <w:rPr>
                <w:szCs w:val="24"/>
              </w:rPr>
            </w:pPr>
            <w:r>
              <w:rPr>
                <w:szCs w:val="24"/>
              </w:rPr>
              <w:t xml:space="preserve">Články </w:t>
            </w:r>
          </w:p>
          <w:p w14:paraId="23D31251" w14:textId="3A2ABE6A" w:rsidR="001C4FEE" w:rsidRDefault="001C4FEE" w:rsidP="00970302">
            <w:pPr>
              <w:rPr>
                <w:szCs w:val="24"/>
              </w:rPr>
            </w:pPr>
            <w:r>
              <w:rPr>
                <w:szCs w:val="24"/>
              </w:rPr>
              <w:t>5, 6, 7, 8, 9, 10, 11 a 12</w:t>
            </w:r>
          </w:p>
        </w:tc>
      </w:tr>
      <w:tr w:rsidR="001C4FEE" w14:paraId="6B2F5FC2" w14:textId="73728311" w:rsidTr="001C4FEE">
        <w:tc>
          <w:tcPr>
            <w:tcW w:w="2269" w:type="dxa"/>
            <w:vMerge/>
          </w:tcPr>
          <w:p w14:paraId="4E8289F5" w14:textId="77777777" w:rsidR="001C4FEE" w:rsidRDefault="001C4FEE" w:rsidP="0097030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0F36B94" w14:textId="56F2CFD4" w:rsidR="001C4FEE" w:rsidRDefault="001C4FEE" w:rsidP="001C4FEE">
            <w:pPr>
              <w:rPr>
                <w:szCs w:val="24"/>
              </w:rPr>
            </w:pPr>
            <w:r w:rsidRPr="00970302">
              <w:rPr>
                <w:szCs w:val="24"/>
              </w:rPr>
              <w:t>Minimální požadavky na bezpečnost a ochranu zdraví při používání pracovního zařízení zaměstnanci</w:t>
            </w:r>
          </w:p>
        </w:tc>
        <w:tc>
          <w:tcPr>
            <w:tcW w:w="2247" w:type="dxa"/>
          </w:tcPr>
          <w:p w14:paraId="374F6EFF" w14:textId="77777777" w:rsidR="001C4FEE" w:rsidRDefault="001C4FEE" w:rsidP="00970302">
            <w:pPr>
              <w:rPr>
                <w:szCs w:val="24"/>
              </w:rPr>
            </w:pPr>
            <w:r w:rsidRPr="00970302">
              <w:rPr>
                <w:szCs w:val="24"/>
              </w:rPr>
              <w:t xml:space="preserve">Směrnice </w:t>
            </w:r>
            <w:r w:rsidRPr="00970302">
              <w:rPr>
                <w:b/>
                <w:bCs/>
                <w:szCs w:val="24"/>
              </w:rPr>
              <w:t>2009/104/ES</w:t>
            </w:r>
          </w:p>
          <w:p w14:paraId="1E194CFE" w14:textId="77777777" w:rsidR="001C4FEE" w:rsidRPr="00970302" w:rsidRDefault="001C4FEE" w:rsidP="00970302">
            <w:pPr>
              <w:rPr>
                <w:szCs w:val="24"/>
              </w:rPr>
            </w:pPr>
            <w:r w:rsidRPr="00970302">
              <w:rPr>
                <w:szCs w:val="24"/>
              </w:rPr>
              <w:t xml:space="preserve">o minimálních požadavcích na bezpečnost a ochranu zdraví pro používání pracovního zařízení </w:t>
            </w:r>
          </w:p>
          <w:p w14:paraId="1572ABA4" w14:textId="4BAB78DA" w:rsidR="001C4FEE" w:rsidRDefault="001C4FEE" w:rsidP="00970302">
            <w:pPr>
              <w:rPr>
                <w:szCs w:val="24"/>
              </w:rPr>
            </w:pPr>
            <w:r w:rsidRPr="00970302">
              <w:rPr>
                <w:szCs w:val="24"/>
              </w:rPr>
              <w:t>zaměstnanci při práci</w:t>
            </w:r>
          </w:p>
        </w:tc>
        <w:tc>
          <w:tcPr>
            <w:tcW w:w="2714" w:type="dxa"/>
          </w:tcPr>
          <w:p w14:paraId="0B1B149F" w14:textId="630A3DDA" w:rsidR="001C4FEE" w:rsidRDefault="001C4FEE" w:rsidP="00970302">
            <w:pPr>
              <w:rPr>
                <w:szCs w:val="24"/>
              </w:rPr>
            </w:pPr>
            <w:r>
              <w:rPr>
                <w:szCs w:val="24"/>
              </w:rPr>
              <w:t>Články 3, 4, 5, 6, 7, 8 a 9</w:t>
            </w:r>
          </w:p>
        </w:tc>
      </w:tr>
    </w:tbl>
    <w:p w14:paraId="71CA2BD2" w14:textId="77777777" w:rsidR="00CF39A8" w:rsidRDefault="00CF39A8">
      <w:pPr>
        <w:rPr>
          <w:szCs w:val="24"/>
        </w:rPr>
      </w:pPr>
    </w:p>
    <w:p w14:paraId="61A91746" w14:textId="77777777" w:rsidR="005B76BE" w:rsidRDefault="005B76BE">
      <w:pPr>
        <w:rPr>
          <w:szCs w:val="24"/>
        </w:rPr>
      </w:pPr>
    </w:p>
    <w:p w14:paraId="548B3DFB" w14:textId="74912411" w:rsidR="00CF39A8" w:rsidRDefault="00CF39A8">
      <w:pPr>
        <w:rPr>
          <w:b/>
          <w:bCs/>
          <w:szCs w:val="24"/>
        </w:rPr>
      </w:pPr>
      <w:r w:rsidRPr="00CF39A8">
        <w:rPr>
          <w:szCs w:val="24"/>
        </w:rPr>
        <w:t>•</w:t>
      </w:r>
      <w:r w:rsidRPr="00CF39A8">
        <w:rPr>
          <w:szCs w:val="24"/>
        </w:rPr>
        <w:tab/>
      </w:r>
      <w:r w:rsidRPr="00CF39A8">
        <w:rPr>
          <w:b/>
          <w:bCs/>
          <w:szCs w:val="24"/>
        </w:rPr>
        <w:t>články 87 až 89 nařízení (EU) 2021/2116</w:t>
      </w:r>
    </w:p>
    <w:p w14:paraId="29CDD3E0" w14:textId="343DACB9" w:rsidR="00CF39A8" w:rsidRDefault="00CF39A8">
      <w:pPr>
        <w:rPr>
          <w:b/>
          <w:bCs/>
          <w:szCs w:val="24"/>
        </w:rPr>
      </w:pPr>
      <w:bookmarkStart w:id="5" w:name="_Hlk161681306"/>
      <w:r>
        <w:rPr>
          <w:b/>
          <w:bCs/>
          <w:szCs w:val="24"/>
        </w:rPr>
        <w:t xml:space="preserve">Článek 87 </w:t>
      </w:r>
      <w:bookmarkEnd w:id="5"/>
      <w:r w:rsidRPr="00CF39A8">
        <w:rPr>
          <w:b/>
          <w:bCs/>
          <w:szCs w:val="24"/>
        </w:rPr>
        <w:t>Kontrolní systém v souvislosti se sociální podmíněností</w:t>
      </w:r>
    </w:p>
    <w:p w14:paraId="5F8A4B15" w14:textId="0F85454B" w:rsidR="00CF39A8" w:rsidRDefault="00CF39A8">
      <w:pPr>
        <w:rPr>
          <w:b/>
          <w:bCs/>
          <w:color w:val="000000"/>
          <w:shd w:val="clear" w:color="auto" w:fill="FFFFFF"/>
        </w:rPr>
      </w:pPr>
      <w:r>
        <w:rPr>
          <w:b/>
          <w:bCs/>
          <w:szCs w:val="24"/>
        </w:rPr>
        <w:t xml:space="preserve">Článek 88 </w:t>
      </w:r>
      <w:r>
        <w:rPr>
          <w:b/>
          <w:bCs/>
          <w:color w:val="000000"/>
          <w:shd w:val="clear" w:color="auto" w:fill="FFFFFF"/>
        </w:rPr>
        <w:t>Systém správních sankcí v souvislosti se sociální podmíněností</w:t>
      </w:r>
    </w:p>
    <w:p w14:paraId="7E900E67" w14:textId="30A2FA73" w:rsidR="00CF39A8" w:rsidRDefault="00CF39A8">
      <w:pPr>
        <w:rPr>
          <w:szCs w:val="24"/>
        </w:rPr>
      </w:pPr>
      <w:r>
        <w:rPr>
          <w:b/>
          <w:bCs/>
          <w:color w:val="000000"/>
          <w:shd w:val="clear" w:color="auto" w:fill="FFFFFF"/>
        </w:rPr>
        <w:t xml:space="preserve">Článek 89 </w:t>
      </w:r>
      <w:r w:rsidRPr="00CF39A8">
        <w:rPr>
          <w:b/>
          <w:bCs/>
          <w:color w:val="000000"/>
          <w:shd w:val="clear" w:color="auto" w:fill="FFFFFF"/>
        </w:rPr>
        <w:t>Uplatňování a výpočet správní sankce</w:t>
      </w:r>
    </w:p>
    <w:p w14:paraId="447204AF" w14:textId="77777777" w:rsidR="00CF39A8" w:rsidRDefault="00CF39A8">
      <w:pPr>
        <w:rPr>
          <w:szCs w:val="24"/>
        </w:rPr>
      </w:pPr>
    </w:p>
    <w:p w14:paraId="203A5AAA" w14:textId="05B59E85" w:rsidR="00BD0D4D" w:rsidRDefault="00BD0D4D" w:rsidP="00B45D88">
      <w:pPr>
        <w:pStyle w:val="Nadpis1"/>
        <w:numPr>
          <w:ilvl w:val="0"/>
          <w:numId w:val="19"/>
        </w:numPr>
        <w:ind w:left="284" w:hanging="284"/>
      </w:pPr>
      <w:bookmarkStart w:id="6" w:name="_Toc162512840"/>
      <w:r>
        <w:lastRenderedPageBreak/>
        <w:t>Základní teze</w:t>
      </w:r>
      <w:bookmarkEnd w:id="6"/>
    </w:p>
    <w:p w14:paraId="1C021762" w14:textId="1504418B" w:rsidR="004537A3" w:rsidRDefault="004537A3" w:rsidP="004537A3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rPr>
          <w:szCs w:val="24"/>
        </w:rPr>
      </w:pPr>
      <w:r>
        <w:rPr>
          <w:szCs w:val="24"/>
        </w:rPr>
        <w:t>Zahrnutí systému do Strategického plánu.</w:t>
      </w:r>
    </w:p>
    <w:p w14:paraId="1EE5C225" w14:textId="5574D3EA" w:rsidR="00BD0D4D" w:rsidRPr="00CF39A8" w:rsidRDefault="00CF39A8" w:rsidP="00CF39A8">
      <w:pPr>
        <w:pStyle w:val="Odstavecseseznamem"/>
        <w:numPr>
          <w:ilvl w:val="0"/>
          <w:numId w:val="1"/>
        </w:numPr>
        <w:ind w:left="284" w:hanging="284"/>
        <w:rPr>
          <w:szCs w:val="24"/>
        </w:rPr>
      </w:pPr>
      <w:r w:rsidRPr="00CF39A8">
        <w:rPr>
          <w:szCs w:val="24"/>
        </w:rPr>
        <w:t>Povinné plnění</w:t>
      </w:r>
      <w:r w:rsidR="005B76BE">
        <w:rPr>
          <w:szCs w:val="24"/>
        </w:rPr>
        <w:t xml:space="preserve"> požadavků </w:t>
      </w:r>
      <w:r w:rsidRPr="00CF39A8">
        <w:rPr>
          <w:szCs w:val="24"/>
        </w:rPr>
        <w:t>žadateli</w:t>
      </w:r>
    </w:p>
    <w:p w14:paraId="4D3CBF30" w14:textId="77777777" w:rsidR="00CF39A8" w:rsidRPr="00CF39A8" w:rsidRDefault="00CF39A8" w:rsidP="00CF39A8">
      <w:pPr>
        <w:pStyle w:val="Odstavecseseznamem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eastAsia="Calibri" w:cs="Times New Roman"/>
          <w:noProof/>
          <w:szCs w:val="24"/>
        </w:rPr>
      </w:pPr>
      <w:r w:rsidRPr="00CF39A8">
        <w:rPr>
          <w:rFonts w:eastAsia="Calibri" w:cs="Times New Roman"/>
          <w:noProof/>
          <w:szCs w:val="24"/>
        </w:rPr>
        <w:t>Přímých plateb,</w:t>
      </w:r>
    </w:p>
    <w:p w14:paraId="2E7F7FA9" w14:textId="70F1359C" w:rsidR="00CF39A8" w:rsidRPr="00CF39A8" w:rsidRDefault="00CF39A8" w:rsidP="00CF39A8">
      <w:pPr>
        <w:pStyle w:val="Odstavecseseznamem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eastAsia="Calibri" w:cs="Times New Roman"/>
          <w:noProof/>
          <w:szCs w:val="24"/>
        </w:rPr>
      </w:pPr>
      <w:r w:rsidRPr="00CF39A8">
        <w:rPr>
          <w:rFonts w:eastAsia="Calibri" w:cs="Times New Roman"/>
          <w:noProof/>
          <w:szCs w:val="24"/>
        </w:rPr>
        <w:t>Agroenvironment</w:t>
      </w:r>
      <w:r w:rsidR="004B49F0">
        <w:rPr>
          <w:rFonts w:eastAsia="Calibri" w:cs="Times New Roman"/>
          <w:noProof/>
          <w:szCs w:val="24"/>
        </w:rPr>
        <w:t>álně-klimatických závazků</w:t>
      </w:r>
      <w:r w:rsidRPr="00CF39A8">
        <w:rPr>
          <w:rFonts w:eastAsia="Calibri" w:cs="Times New Roman"/>
          <w:noProof/>
          <w:szCs w:val="24"/>
        </w:rPr>
        <w:t xml:space="preserve">, </w:t>
      </w:r>
    </w:p>
    <w:p w14:paraId="6C514D75" w14:textId="6661A762" w:rsidR="00CF39A8" w:rsidRPr="00CF39A8" w:rsidRDefault="00CF39A8" w:rsidP="00CF39A8">
      <w:pPr>
        <w:pStyle w:val="Odstavecseseznamem"/>
        <w:numPr>
          <w:ilvl w:val="0"/>
          <w:numId w:val="13"/>
        </w:numPr>
        <w:spacing w:after="0" w:line="276" w:lineRule="auto"/>
        <w:ind w:left="851" w:hanging="425"/>
        <w:jc w:val="both"/>
        <w:rPr>
          <w:rFonts w:eastAsia="Calibri" w:cs="Times New Roman"/>
          <w:noProof/>
          <w:szCs w:val="24"/>
        </w:rPr>
      </w:pPr>
      <w:r w:rsidRPr="00CF39A8">
        <w:rPr>
          <w:rFonts w:eastAsia="Calibri" w:cs="Times New Roman"/>
          <w:noProof/>
          <w:szCs w:val="24"/>
        </w:rPr>
        <w:t>Plateb na přírodní omezení nebo jiná omezení spe</w:t>
      </w:r>
      <w:r w:rsidR="004B49F0">
        <w:rPr>
          <w:rFonts w:eastAsia="Calibri" w:cs="Times New Roman"/>
          <w:noProof/>
          <w:szCs w:val="24"/>
        </w:rPr>
        <w:t xml:space="preserve">cifická pro určité oblasti </w:t>
      </w:r>
      <w:r w:rsidRPr="00CF39A8">
        <w:rPr>
          <w:rFonts w:eastAsia="Calibri" w:cs="Times New Roman"/>
          <w:noProof/>
          <w:szCs w:val="24"/>
        </w:rPr>
        <w:t xml:space="preserve"> a</w:t>
      </w:r>
    </w:p>
    <w:p w14:paraId="089CEA2A" w14:textId="5058762C" w:rsidR="00CF39A8" w:rsidRPr="004537A3" w:rsidRDefault="00CF39A8" w:rsidP="004537A3">
      <w:pPr>
        <w:pStyle w:val="Odstavecseseznamem"/>
        <w:numPr>
          <w:ilvl w:val="0"/>
          <w:numId w:val="13"/>
        </w:numPr>
        <w:spacing w:after="120" w:line="276" w:lineRule="auto"/>
        <w:ind w:left="850" w:hanging="425"/>
        <w:contextualSpacing w:val="0"/>
        <w:jc w:val="both"/>
        <w:rPr>
          <w:rFonts w:ascii="Gill Sans MT" w:eastAsia="Calibri" w:hAnsi="Gill Sans MT" w:cs="Times New Roman"/>
          <w:noProof/>
          <w:szCs w:val="24"/>
        </w:rPr>
      </w:pPr>
      <w:r w:rsidRPr="00CF39A8">
        <w:rPr>
          <w:rFonts w:eastAsia="Calibri" w:cs="Times New Roman"/>
          <w:noProof/>
          <w:szCs w:val="24"/>
        </w:rPr>
        <w:t>Plateb na znevýhodnění specifická pro</w:t>
      </w:r>
      <w:r w:rsidR="004B49F0">
        <w:rPr>
          <w:rFonts w:eastAsia="Calibri" w:cs="Times New Roman"/>
          <w:noProof/>
          <w:szCs w:val="24"/>
        </w:rPr>
        <w:t xml:space="preserve"> konkrétní oblasti</w:t>
      </w:r>
      <w:r w:rsidRPr="00CF39A8">
        <w:rPr>
          <w:rFonts w:eastAsia="Calibri" w:cs="Times New Roman"/>
          <w:noProof/>
          <w:szCs w:val="24"/>
        </w:rPr>
        <w:t>.</w:t>
      </w:r>
    </w:p>
    <w:p w14:paraId="0416D1D2" w14:textId="12EE93A5" w:rsidR="00CF39A8" w:rsidRDefault="004537A3" w:rsidP="005B76BE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Cs w:val="24"/>
        </w:rPr>
      </w:pPr>
      <w:r>
        <w:rPr>
          <w:szCs w:val="24"/>
        </w:rPr>
        <w:t>K</w:t>
      </w:r>
      <w:r w:rsidRPr="004537A3">
        <w:rPr>
          <w:szCs w:val="24"/>
        </w:rPr>
        <w:t>onzultace s relevantními vnitrostátními sociálními partnery zastupujícími sociální partnery v odvětví zemědělství a plně respektují jejich autonomii, jakož i jejich právo sjednávat a uzavírat kolektivní smlouvy.</w:t>
      </w:r>
    </w:p>
    <w:p w14:paraId="338AD53C" w14:textId="317B4E4B" w:rsidR="004537A3" w:rsidRDefault="00BD15EC" w:rsidP="004537A3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rPr>
          <w:szCs w:val="24"/>
        </w:rPr>
      </w:pPr>
      <w:r>
        <w:rPr>
          <w:szCs w:val="24"/>
        </w:rPr>
        <w:t>Nastavení p</w:t>
      </w:r>
      <w:r w:rsidR="004537A3" w:rsidRPr="004537A3">
        <w:rPr>
          <w:szCs w:val="24"/>
        </w:rPr>
        <w:t>ravid</w:t>
      </w:r>
      <w:r>
        <w:rPr>
          <w:szCs w:val="24"/>
        </w:rPr>
        <w:t>e</w:t>
      </w:r>
      <w:r w:rsidR="004537A3" w:rsidRPr="004537A3">
        <w:rPr>
          <w:szCs w:val="24"/>
        </w:rPr>
        <w:t>l pro účinný a přiměřený systém správních sankcí</w:t>
      </w:r>
      <w:r w:rsidR="004537A3">
        <w:rPr>
          <w:szCs w:val="24"/>
        </w:rPr>
        <w:t>.</w:t>
      </w:r>
    </w:p>
    <w:p w14:paraId="2B55124A" w14:textId="4EF33949" w:rsidR="00853E1D" w:rsidRDefault="00853E1D" w:rsidP="00853E1D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Cs w:val="24"/>
        </w:rPr>
      </w:pPr>
      <w:r w:rsidRPr="00853E1D">
        <w:rPr>
          <w:szCs w:val="24"/>
        </w:rPr>
        <w:t>Sankce jsou založeny výhradně na rozsudcích nebo rozhodnutích příslušných</w:t>
      </w:r>
      <w:r>
        <w:rPr>
          <w:szCs w:val="24"/>
        </w:rPr>
        <w:t xml:space="preserve"> </w:t>
      </w:r>
      <w:r w:rsidRPr="00853E1D">
        <w:rPr>
          <w:szCs w:val="24"/>
        </w:rPr>
        <w:t>pracovněprávních soudů a úřadů.</w:t>
      </w:r>
    </w:p>
    <w:p w14:paraId="0E930CF0" w14:textId="57598B6E" w:rsidR="004537A3" w:rsidRDefault="004537A3" w:rsidP="005B76BE">
      <w:pPr>
        <w:pStyle w:val="Odstavecseseznamem"/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>Směrnice podle Přílohy IV 2021/2115 s</w:t>
      </w:r>
      <w:r w:rsidRPr="004537A3">
        <w:rPr>
          <w:szCs w:val="24"/>
        </w:rPr>
        <w:t>e použijí v platném znění a v podobě, v níž je</w:t>
      </w:r>
      <w:r w:rsidR="00780D81">
        <w:rPr>
          <w:szCs w:val="24"/>
        </w:rPr>
        <w:t> </w:t>
      </w:r>
      <w:r w:rsidRPr="004537A3">
        <w:rPr>
          <w:szCs w:val="24"/>
        </w:rPr>
        <w:t>provedly členské státy.</w:t>
      </w:r>
    </w:p>
    <w:p w14:paraId="27144D01" w14:textId="77777777" w:rsidR="00D002B8" w:rsidRDefault="00D002B8" w:rsidP="00D002B8">
      <w:pPr>
        <w:pStyle w:val="Odstavecseseznamem"/>
        <w:ind w:left="284"/>
        <w:jc w:val="both"/>
        <w:rPr>
          <w:szCs w:val="24"/>
        </w:rPr>
      </w:pPr>
    </w:p>
    <w:p w14:paraId="0AF0E51F" w14:textId="420ED8E0" w:rsidR="00D002B8" w:rsidRPr="00D002B8" w:rsidRDefault="00D002B8" w:rsidP="00D002B8">
      <w:pPr>
        <w:pStyle w:val="Nadpis1"/>
        <w:numPr>
          <w:ilvl w:val="0"/>
          <w:numId w:val="19"/>
        </w:numPr>
        <w:ind w:left="284" w:hanging="284"/>
      </w:pPr>
      <w:bookmarkStart w:id="7" w:name="_Toc162512841"/>
      <w:r>
        <w:t>Požadavky</w:t>
      </w:r>
      <w:bookmarkEnd w:id="7"/>
    </w:p>
    <w:p w14:paraId="0AAB75ED" w14:textId="541B1C02" w:rsidR="000C634C" w:rsidRPr="000C634C" w:rsidRDefault="000C634C" w:rsidP="00D002B8">
      <w:pPr>
        <w:jc w:val="both"/>
        <w:rPr>
          <w:szCs w:val="24"/>
        </w:rPr>
      </w:pPr>
      <w:r w:rsidRPr="000C634C">
        <w:rPr>
          <w:szCs w:val="24"/>
        </w:rPr>
        <w:t>Požadavky stanovené uvedenými články tří směrnic EU mají být prov</w:t>
      </w:r>
      <w:r>
        <w:rPr>
          <w:szCs w:val="24"/>
        </w:rPr>
        <w:t>áděny podle národního nastavení. Osloveno ke spolupráci bylo MPSV.</w:t>
      </w:r>
    </w:p>
    <w:p w14:paraId="6E6EEA3C" w14:textId="198E7F04" w:rsidR="00D002B8" w:rsidRPr="00E541C4" w:rsidRDefault="00D002B8" w:rsidP="00D002B8">
      <w:pPr>
        <w:jc w:val="both"/>
        <w:rPr>
          <w:b/>
          <w:bCs/>
          <w:szCs w:val="24"/>
        </w:rPr>
      </w:pPr>
      <w:r w:rsidRPr="00E541C4">
        <w:rPr>
          <w:b/>
          <w:bCs/>
          <w:szCs w:val="24"/>
        </w:rPr>
        <w:t>Transparentní a předvídatelné pracovní podmínky</w:t>
      </w:r>
      <w:r w:rsidR="00E541C4" w:rsidRPr="00E541C4">
        <w:rPr>
          <w:b/>
          <w:bCs/>
          <w:szCs w:val="24"/>
        </w:rPr>
        <w:t xml:space="preserve"> </w:t>
      </w:r>
      <w:r w:rsidRPr="00E541C4">
        <w:rPr>
          <w:b/>
          <w:bCs/>
          <w:szCs w:val="24"/>
        </w:rPr>
        <w:t>Směrnice 2019/1152</w:t>
      </w:r>
      <w:r w:rsidRPr="00E541C4">
        <w:rPr>
          <w:b/>
          <w:bCs/>
          <w:szCs w:val="24"/>
        </w:rPr>
        <w:tab/>
      </w:r>
    </w:p>
    <w:p w14:paraId="643F6A31" w14:textId="053AF379" w:rsidR="00D002B8" w:rsidRDefault="00D002B8" w:rsidP="00E541C4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3</w:t>
      </w:r>
      <w:r w:rsidR="00E541C4">
        <w:rPr>
          <w:szCs w:val="24"/>
        </w:rPr>
        <w:tab/>
      </w:r>
      <w:r w:rsidRPr="00D002B8">
        <w:rPr>
          <w:szCs w:val="24"/>
        </w:rPr>
        <w:t>Pracovní podmínky mají být poskytnuty písemně („pracovní smlouva“)</w:t>
      </w:r>
      <w:r w:rsidRPr="00D002B8">
        <w:rPr>
          <w:szCs w:val="24"/>
        </w:rPr>
        <w:tab/>
      </w:r>
    </w:p>
    <w:p w14:paraId="730B1E1D" w14:textId="301D046C" w:rsidR="00D002B8" w:rsidRPr="00D002B8" w:rsidRDefault="00D002B8" w:rsidP="00E541C4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4</w:t>
      </w:r>
      <w:r w:rsidRPr="00D002B8">
        <w:rPr>
          <w:szCs w:val="24"/>
        </w:rPr>
        <w:tab/>
        <w:t>Zajistit, aby se na zaměstnání v zemědělství vztahovala pracovní smlouva</w:t>
      </w:r>
    </w:p>
    <w:p w14:paraId="0C8F452F" w14:textId="032798D0" w:rsidR="00D002B8" w:rsidRPr="00D002B8" w:rsidRDefault="00D002B8" w:rsidP="00E541C4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5</w:t>
      </w:r>
      <w:r w:rsidRPr="00D002B8">
        <w:rPr>
          <w:szCs w:val="24"/>
        </w:rPr>
        <w:tab/>
        <w:t>Pracovní smlouva má být poskytnuta během prvních sedmi pracovních dnů.</w:t>
      </w:r>
    </w:p>
    <w:p w14:paraId="6F5DDF48" w14:textId="1C43D6D7" w:rsidR="00D002B8" w:rsidRPr="00D002B8" w:rsidRDefault="00D002B8" w:rsidP="00E541C4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6</w:t>
      </w:r>
      <w:r w:rsidRPr="00D002B8">
        <w:rPr>
          <w:szCs w:val="24"/>
        </w:rPr>
        <w:tab/>
        <w:t>Změny pracovního poměru mají být poskytnuty v písemné podobě.</w:t>
      </w:r>
    </w:p>
    <w:p w14:paraId="7F4BCABC" w14:textId="19EFF8C1" w:rsidR="00D002B8" w:rsidRPr="00D002B8" w:rsidRDefault="00D002B8" w:rsidP="00E541C4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8</w:t>
      </w:r>
      <w:r w:rsidRPr="00D002B8">
        <w:rPr>
          <w:szCs w:val="24"/>
        </w:rPr>
        <w:tab/>
        <w:t>Zkušební doba</w:t>
      </w:r>
    </w:p>
    <w:p w14:paraId="19AD789F" w14:textId="38C511DA" w:rsidR="00D002B8" w:rsidRPr="00D002B8" w:rsidRDefault="00D002B8" w:rsidP="00E541C4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10</w:t>
      </w:r>
      <w:r w:rsidRPr="00D002B8">
        <w:rPr>
          <w:szCs w:val="24"/>
        </w:rPr>
        <w:tab/>
        <w:t>Podmínky týkající se minimální předvídatelnosti práce.</w:t>
      </w:r>
    </w:p>
    <w:p w14:paraId="2EF93C03" w14:textId="7B9CD4F0" w:rsidR="00D002B8" w:rsidRPr="00D002B8" w:rsidRDefault="00D002B8" w:rsidP="00E541C4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13</w:t>
      </w:r>
      <w:r w:rsidRPr="00D002B8">
        <w:rPr>
          <w:szCs w:val="24"/>
        </w:rPr>
        <w:tab/>
        <w:t>Povinná odborná příprava</w:t>
      </w:r>
    </w:p>
    <w:p w14:paraId="10EEEC54" w14:textId="77777777" w:rsidR="00E541C4" w:rsidRPr="00E541C4" w:rsidRDefault="00D002B8" w:rsidP="00D002B8">
      <w:pPr>
        <w:jc w:val="both"/>
        <w:rPr>
          <w:b/>
          <w:bCs/>
          <w:szCs w:val="24"/>
        </w:rPr>
      </w:pPr>
      <w:r w:rsidRPr="00E541C4">
        <w:rPr>
          <w:b/>
          <w:bCs/>
          <w:szCs w:val="24"/>
        </w:rPr>
        <w:t>Opatření na podporu zlepšení bezpečnosti a ochrany zdraví pracovníků</w:t>
      </w:r>
      <w:r w:rsidR="00E541C4" w:rsidRPr="00E541C4">
        <w:rPr>
          <w:b/>
          <w:bCs/>
          <w:szCs w:val="24"/>
        </w:rPr>
        <w:t xml:space="preserve"> </w:t>
      </w:r>
      <w:r w:rsidRPr="00E541C4">
        <w:rPr>
          <w:b/>
          <w:bCs/>
          <w:szCs w:val="24"/>
        </w:rPr>
        <w:t>Směrnice 89/391/EHS</w:t>
      </w:r>
      <w:r w:rsidRPr="00E541C4">
        <w:rPr>
          <w:b/>
          <w:bCs/>
          <w:szCs w:val="24"/>
        </w:rPr>
        <w:tab/>
      </w:r>
    </w:p>
    <w:p w14:paraId="0C9FF2C9" w14:textId="2146E284" w:rsidR="00D002B8" w:rsidRPr="00D002B8" w:rsidRDefault="00D002B8" w:rsidP="00E541C4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5</w:t>
      </w:r>
      <w:r w:rsidRPr="00D002B8">
        <w:rPr>
          <w:szCs w:val="24"/>
        </w:rPr>
        <w:tab/>
        <w:t>Obecná ustanovení stanovující povinnost zaměstnavatele zajistit bezpečnost a</w:t>
      </w:r>
      <w:r w:rsidR="00780D81">
        <w:rPr>
          <w:szCs w:val="24"/>
        </w:rPr>
        <w:t> </w:t>
      </w:r>
      <w:r w:rsidRPr="00D002B8">
        <w:rPr>
          <w:szCs w:val="24"/>
        </w:rPr>
        <w:t>ochranu zdraví zaměstnanců</w:t>
      </w:r>
    </w:p>
    <w:p w14:paraId="6F31CDA7" w14:textId="7AA3B511" w:rsidR="00D002B8" w:rsidRPr="00D002B8" w:rsidRDefault="00D002B8" w:rsidP="00E541C4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6</w:t>
      </w:r>
      <w:r w:rsidRPr="00D002B8">
        <w:rPr>
          <w:szCs w:val="24"/>
        </w:rPr>
        <w:tab/>
        <w:t>Obecná povinnost zaměstnavatelů přijmout opatření nezbytná pro bezpečnost a ochranu zdraví, včetně opatření pro prevenci rizik a pro informování a školení.</w:t>
      </w:r>
    </w:p>
    <w:p w14:paraId="64AB6831" w14:textId="71B32866" w:rsidR="00D002B8" w:rsidRPr="00D002B8" w:rsidRDefault="00D002B8" w:rsidP="00E541C4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lastRenderedPageBreak/>
        <w:t>Článek 7</w:t>
      </w:r>
      <w:r w:rsidRPr="00D002B8">
        <w:rPr>
          <w:szCs w:val="24"/>
        </w:rPr>
        <w:tab/>
        <w:t>Služby pro ochranu a prevenci: k provádění činností týkajících se ochrany zdraví a bezpečnosti má být určen jeden nebo více zaměstnanců nebo využita odborně způsobilá externí služba.</w:t>
      </w:r>
    </w:p>
    <w:p w14:paraId="1EC908A1" w14:textId="061E487E" w:rsidR="00D002B8" w:rsidRPr="00D002B8" w:rsidRDefault="00D002B8" w:rsidP="003831B7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8</w:t>
      </w:r>
      <w:r w:rsidRPr="00D002B8">
        <w:rPr>
          <w:szCs w:val="24"/>
        </w:rPr>
        <w:tab/>
        <w:t>Zaměstnavatel přijme opatření pro první pomoc, zdolávání požáru a evakuaci zaměstnanců.</w:t>
      </w:r>
    </w:p>
    <w:p w14:paraId="215CC063" w14:textId="376C967B" w:rsidR="00D002B8" w:rsidRPr="00D002B8" w:rsidRDefault="00D002B8" w:rsidP="003831B7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9</w:t>
      </w:r>
      <w:r w:rsidRPr="00D002B8">
        <w:rPr>
          <w:szCs w:val="24"/>
        </w:rPr>
        <w:tab/>
        <w:t>Povinnosti zaměstnavatelů týkající se hodnocení rizik, ochranných opatření a</w:t>
      </w:r>
      <w:r w:rsidR="00780D81">
        <w:rPr>
          <w:szCs w:val="24"/>
        </w:rPr>
        <w:t> </w:t>
      </w:r>
      <w:r w:rsidRPr="00D002B8">
        <w:rPr>
          <w:szCs w:val="24"/>
        </w:rPr>
        <w:t>vybavení, zaznamenávání a hlášení pracovních úrazů.</w:t>
      </w:r>
    </w:p>
    <w:p w14:paraId="7E4D5CC5" w14:textId="4684AB5A" w:rsidR="00D002B8" w:rsidRPr="00D002B8" w:rsidRDefault="00D002B8" w:rsidP="003831B7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10</w:t>
      </w:r>
      <w:r w:rsidRPr="00D002B8">
        <w:rPr>
          <w:szCs w:val="24"/>
        </w:rPr>
        <w:tab/>
        <w:t>Poskytování informací zaměstnancům o bezpečnostních a zdravotních rizicích a ochranných a preventivních opatřeních.</w:t>
      </w:r>
    </w:p>
    <w:p w14:paraId="78ECE45A" w14:textId="5BD5ACD2" w:rsidR="00D002B8" w:rsidRPr="00D002B8" w:rsidRDefault="00D002B8" w:rsidP="003831B7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11</w:t>
      </w:r>
      <w:r w:rsidRPr="00D002B8">
        <w:rPr>
          <w:szCs w:val="24"/>
        </w:rPr>
        <w:tab/>
        <w:t>Projednání a účast zaměstnanců v diskusích o všech otázkách týkajících se</w:t>
      </w:r>
      <w:r w:rsidR="00780D81">
        <w:rPr>
          <w:szCs w:val="24"/>
        </w:rPr>
        <w:t> </w:t>
      </w:r>
      <w:r w:rsidRPr="00D002B8">
        <w:rPr>
          <w:szCs w:val="24"/>
        </w:rPr>
        <w:t>bezpečnosti a ochrany zdraví při práci</w:t>
      </w:r>
    </w:p>
    <w:p w14:paraId="33015B64" w14:textId="2F53E0B6" w:rsidR="00D002B8" w:rsidRPr="00D002B8" w:rsidRDefault="00D002B8" w:rsidP="003831B7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12</w:t>
      </w:r>
      <w:r w:rsidRPr="00D002B8">
        <w:rPr>
          <w:szCs w:val="24"/>
        </w:rPr>
        <w:tab/>
        <w:t>Zaměstnavatel zajistí, aby se zaměstnancům dostalo dostatečného školení o</w:t>
      </w:r>
      <w:r w:rsidR="00780D81">
        <w:rPr>
          <w:szCs w:val="24"/>
        </w:rPr>
        <w:t> </w:t>
      </w:r>
      <w:r w:rsidRPr="00D002B8">
        <w:rPr>
          <w:szCs w:val="24"/>
        </w:rPr>
        <w:t>bezpečnosti a ochraně zdraví.</w:t>
      </w:r>
    </w:p>
    <w:p w14:paraId="3DAF2DAF" w14:textId="77777777" w:rsidR="00E541C4" w:rsidRPr="003831B7" w:rsidRDefault="00D002B8" w:rsidP="00D002B8">
      <w:pPr>
        <w:jc w:val="both"/>
        <w:rPr>
          <w:b/>
          <w:bCs/>
          <w:szCs w:val="24"/>
        </w:rPr>
      </w:pPr>
      <w:r w:rsidRPr="003831B7">
        <w:rPr>
          <w:b/>
          <w:bCs/>
          <w:szCs w:val="24"/>
        </w:rPr>
        <w:t>Minimální požadavky na bezpečnost a ochranu zdraví při používání pracovního zařízení zaměstnanci</w:t>
      </w:r>
      <w:r w:rsidR="00E541C4" w:rsidRPr="003831B7">
        <w:rPr>
          <w:b/>
          <w:bCs/>
          <w:szCs w:val="24"/>
        </w:rPr>
        <w:t xml:space="preserve"> </w:t>
      </w:r>
      <w:r w:rsidRPr="003831B7">
        <w:rPr>
          <w:b/>
          <w:bCs/>
          <w:szCs w:val="24"/>
        </w:rPr>
        <w:t>Směrnice 2009/104/ES</w:t>
      </w:r>
      <w:r w:rsidRPr="003831B7">
        <w:rPr>
          <w:b/>
          <w:bCs/>
          <w:szCs w:val="24"/>
        </w:rPr>
        <w:tab/>
      </w:r>
    </w:p>
    <w:p w14:paraId="02B5A807" w14:textId="648E2F08" w:rsidR="00D002B8" w:rsidRPr="00D002B8" w:rsidRDefault="00D002B8" w:rsidP="00C46B6F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3</w:t>
      </w:r>
      <w:r w:rsidRPr="00D002B8">
        <w:rPr>
          <w:szCs w:val="24"/>
        </w:rPr>
        <w:tab/>
        <w:t>Obecné povinnosti zajistit, aby pracovní zařízení bylo vhodné pro práci vykonávanou zaměstnanci bez ohrožení bezpečnosti nebo zdraví.</w:t>
      </w:r>
    </w:p>
    <w:p w14:paraId="0DFBC660" w14:textId="3FE07996" w:rsidR="00D002B8" w:rsidRPr="00D002B8" w:rsidRDefault="00D002B8" w:rsidP="00C46B6F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4</w:t>
      </w:r>
      <w:r w:rsidRPr="00D002B8">
        <w:rPr>
          <w:szCs w:val="24"/>
        </w:rPr>
        <w:tab/>
        <w:t xml:space="preserve">Předpisy vztahující se na pracovní zařízení: – musí být v souladu se směrnicí </w:t>
      </w:r>
      <w:r w:rsidR="00780D81" w:rsidRPr="00D002B8">
        <w:rPr>
          <w:szCs w:val="24"/>
        </w:rPr>
        <w:t>a</w:t>
      </w:r>
      <w:r w:rsidR="00780D81">
        <w:rPr>
          <w:szCs w:val="24"/>
        </w:rPr>
        <w:t> </w:t>
      </w:r>
      <w:r w:rsidRPr="00D002B8">
        <w:rPr>
          <w:szCs w:val="24"/>
        </w:rPr>
        <w:t>stanovenými minimálními požadavky a musí být vhodným způsobem udržovány.</w:t>
      </w:r>
    </w:p>
    <w:p w14:paraId="0EF5FC57" w14:textId="21A556AC" w:rsidR="00D002B8" w:rsidRPr="00D002B8" w:rsidRDefault="00D002B8" w:rsidP="00C46B6F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5</w:t>
      </w:r>
      <w:r w:rsidRPr="00D002B8">
        <w:rPr>
          <w:szCs w:val="24"/>
        </w:rPr>
        <w:tab/>
        <w:t>Kontrola pracovního zařízení – zařízení má být zkontrolováno po instalaci a</w:t>
      </w:r>
      <w:r w:rsidR="00780D81">
        <w:rPr>
          <w:szCs w:val="24"/>
        </w:rPr>
        <w:t> </w:t>
      </w:r>
      <w:r w:rsidRPr="00D002B8">
        <w:rPr>
          <w:szCs w:val="24"/>
        </w:rPr>
        <w:t>poté mají být způsobilými osobami prováděny pravidelné kontroly.</w:t>
      </w:r>
    </w:p>
    <w:p w14:paraId="0DDE4736" w14:textId="1B06EEA2" w:rsidR="00D002B8" w:rsidRPr="00D002B8" w:rsidRDefault="00D002B8" w:rsidP="00C46B6F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6</w:t>
      </w:r>
      <w:r w:rsidRPr="00D002B8">
        <w:rPr>
          <w:szCs w:val="24"/>
        </w:rPr>
        <w:tab/>
        <w:t>Používání pracovního zařízení se zvláštními riziky má být omezeno na osoby pověřené jeho používáním a všechny opravy, úpravy a údržbu mají provádět určení zaměstnanci.</w:t>
      </w:r>
    </w:p>
    <w:p w14:paraId="235E9F89" w14:textId="5D4F523D" w:rsidR="00D002B8" w:rsidRPr="00D002B8" w:rsidRDefault="00D002B8" w:rsidP="00C46B6F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7</w:t>
      </w:r>
      <w:r w:rsidRPr="00D002B8">
        <w:rPr>
          <w:szCs w:val="24"/>
        </w:rPr>
        <w:tab/>
        <w:t>Ergonomie a ochrana zdraví při práci</w:t>
      </w:r>
    </w:p>
    <w:p w14:paraId="001B181A" w14:textId="36D47692" w:rsidR="00D002B8" w:rsidRPr="00D002B8" w:rsidRDefault="00D002B8" w:rsidP="00C46B6F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8</w:t>
      </w:r>
      <w:r w:rsidRPr="00D002B8">
        <w:rPr>
          <w:szCs w:val="24"/>
        </w:rPr>
        <w:tab/>
        <w:t>Zaměstnanci mají mít k dispozici odpovídající informace a popřípadě písemné pokyny o pracovním zařízení.</w:t>
      </w:r>
    </w:p>
    <w:p w14:paraId="0CF9CF89" w14:textId="0CF2A878" w:rsidR="008C2349" w:rsidRDefault="00D002B8" w:rsidP="00C46B6F">
      <w:pPr>
        <w:ind w:left="1276" w:hanging="1276"/>
        <w:jc w:val="both"/>
        <w:rPr>
          <w:szCs w:val="24"/>
        </w:rPr>
      </w:pPr>
      <w:r w:rsidRPr="00D002B8">
        <w:rPr>
          <w:szCs w:val="24"/>
        </w:rPr>
        <w:t>Článek 9</w:t>
      </w:r>
      <w:r w:rsidRPr="00D002B8">
        <w:rPr>
          <w:szCs w:val="24"/>
        </w:rPr>
        <w:tab/>
        <w:t>Zaměstnanci mají získat odpovídající školení.</w:t>
      </w:r>
    </w:p>
    <w:p w14:paraId="2BAF578B" w14:textId="77777777" w:rsidR="00C46B6F" w:rsidRPr="00D002B8" w:rsidRDefault="00C46B6F" w:rsidP="00C46B6F">
      <w:pPr>
        <w:ind w:left="1276" w:hanging="1276"/>
        <w:jc w:val="both"/>
        <w:rPr>
          <w:szCs w:val="24"/>
        </w:rPr>
      </w:pPr>
    </w:p>
    <w:p w14:paraId="42714CCA" w14:textId="307B8193" w:rsidR="00BD0D4D" w:rsidRDefault="00BD0D4D" w:rsidP="00B45D88">
      <w:pPr>
        <w:pStyle w:val="Nadpis1"/>
        <w:numPr>
          <w:ilvl w:val="0"/>
          <w:numId w:val="19"/>
        </w:numPr>
        <w:ind w:left="284" w:hanging="284"/>
      </w:pPr>
      <w:bookmarkStart w:id="8" w:name="_Toc162512842"/>
      <w:r w:rsidRPr="00BD0D4D">
        <w:t>Účinnost</w:t>
      </w:r>
      <w:bookmarkEnd w:id="8"/>
    </w:p>
    <w:p w14:paraId="7AB4281C" w14:textId="7FB29A11" w:rsidR="00BD0D4D" w:rsidRDefault="00BD0D4D" w:rsidP="00BD0D4D">
      <w:r>
        <w:t>Požadovaná účinnost</w:t>
      </w:r>
      <w:r w:rsidR="004537A3">
        <w:t xml:space="preserve"> nejpozději 1. 1. 2025.</w:t>
      </w:r>
    </w:p>
    <w:p w14:paraId="1D140FF1" w14:textId="77777777" w:rsidR="004537A3" w:rsidRDefault="004537A3" w:rsidP="00BD0D4D"/>
    <w:p w14:paraId="13025B5B" w14:textId="3A69EDFD" w:rsidR="004537A3" w:rsidRDefault="004537A3" w:rsidP="00B45D88">
      <w:pPr>
        <w:pStyle w:val="Nadpis1"/>
        <w:numPr>
          <w:ilvl w:val="0"/>
          <w:numId w:val="19"/>
        </w:numPr>
        <w:ind w:left="284" w:hanging="284"/>
        <w:jc w:val="both"/>
      </w:pPr>
      <w:bookmarkStart w:id="9" w:name="_Toc162512843"/>
      <w:r>
        <w:lastRenderedPageBreak/>
        <w:t>Kontrolní a sankční systém a uplatňování sankcí</w:t>
      </w:r>
      <w:r w:rsidR="005B76BE">
        <w:t xml:space="preserve"> podle článků nařízení (EU) 2021/2116</w:t>
      </w:r>
      <w:bookmarkEnd w:id="9"/>
    </w:p>
    <w:p w14:paraId="78F8A81C" w14:textId="58D1C8F0" w:rsidR="00A74A7A" w:rsidRPr="00A74A7A" w:rsidRDefault="00A74A7A" w:rsidP="00A74A7A">
      <w:pPr>
        <w:spacing w:after="120"/>
        <w:jc w:val="both"/>
        <w:rPr>
          <w:b/>
          <w:bCs/>
        </w:rPr>
      </w:pPr>
      <w:r w:rsidRPr="00A74A7A">
        <w:rPr>
          <w:b/>
          <w:bCs/>
        </w:rPr>
        <w:t>Kontrolní systém</w:t>
      </w:r>
      <w:r w:rsidR="005B76BE">
        <w:rPr>
          <w:b/>
          <w:bCs/>
        </w:rPr>
        <w:t xml:space="preserve"> </w:t>
      </w:r>
      <w:bookmarkStart w:id="10" w:name="_Hlk161853221"/>
      <w:r w:rsidR="005B76BE">
        <w:rPr>
          <w:b/>
          <w:bCs/>
        </w:rPr>
        <w:t>(článek 87 2021/2116)</w:t>
      </w:r>
      <w:bookmarkEnd w:id="10"/>
    </w:p>
    <w:p w14:paraId="02A9B60D" w14:textId="305CF390" w:rsidR="004537A3" w:rsidRDefault="00F85223" w:rsidP="00A74A7A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jc w:val="both"/>
      </w:pPr>
      <w:r w:rsidRPr="00F85223">
        <w:t>Členské státy zavedou systém pro uplatňování správních sankcí vůči příjemcům</w:t>
      </w:r>
      <w:r>
        <w:t xml:space="preserve">, </w:t>
      </w:r>
      <w:r w:rsidRPr="00F85223">
        <w:t>kteří nedodrží pravidla týkající se sociální podmíněnosti</w:t>
      </w:r>
      <w:r>
        <w:t>.</w:t>
      </w:r>
    </w:p>
    <w:p w14:paraId="2818AED8" w14:textId="6B74BE70" w:rsidR="00F85223" w:rsidRDefault="00A74A7A" w:rsidP="00A74A7A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jc w:val="both"/>
      </w:pPr>
      <w:r w:rsidRPr="005B76BE">
        <w:rPr>
          <w:b/>
          <w:bCs/>
          <w:color w:val="C45911" w:themeColor="accent2" w:themeShade="BF"/>
        </w:rPr>
        <w:t>Členské státy využijí své použitelné kontrolní a donucovací systémy</w:t>
      </w:r>
      <w:r w:rsidRPr="005B76BE">
        <w:rPr>
          <w:color w:val="C45911" w:themeColor="accent2" w:themeShade="BF"/>
        </w:rPr>
        <w:t xml:space="preserve"> </w:t>
      </w:r>
      <w:r w:rsidRPr="00A74A7A">
        <w:t>v oblasti sociálních a pracovněprávních předpisů a platných pracovních norem</w:t>
      </w:r>
      <w:r>
        <w:t>.</w:t>
      </w:r>
    </w:p>
    <w:p w14:paraId="06DC49E4" w14:textId="0227CF96" w:rsidR="00A74A7A" w:rsidRDefault="00A74A7A" w:rsidP="00A74A7A">
      <w:pPr>
        <w:pStyle w:val="Odstavecseseznamem"/>
        <w:numPr>
          <w:ilvl w:val="0"/>
          <w:numId w:val="14"/>
        </w:numPr>
        <w:spacing w:after="120"/>
        <w:ind w:left="284" w:hanging="284"/>
        <w:contextualSpacing w:val="0"/>
        <w:jc w:val="both"/>
      </w:pPr>
      <w:r w:rsidRPr="00A74A7A">
        <w:t xml:space="preserve">Členské státy zajistí jasné </w:t>
      </w:r>
      <w:r w:rsidRPr="005B76BE">
        <w:rPr>
          <w:b/>
          <w:bCs/>
          <w:color w:val="C45911" w:themeColor="accent2" w:themeShade="BF"/>
        </w:rPr>
        <w:t>rozdělení odpovědností</w:t>
      </w:r>
      <w:r w:rsidRPr="005B76BE">
        <w:rPr>
          <w:color w:val="C45911" w:themeColor="accent2" w:themeShade="BF"/>
        </w:rPr>
        <w:t xml:space="preserve"> </w:t>
      </w:r>
      <w:r w:rsidRPr="00A74A7A">
        <w:t>mezi orgány nebo subjekty odpovědnými za prosazování sociálních a pracovněprávních předpisů a platných pracovních norem na jedné straně a platebními agenturami na straně druhé</w:t>
      </w:r>
      <w:r>
        <w:t>.</w:t>
      </w:r>
    </w:p>
    <w:p w14:paraId="783EB4DA" w14:textId="77777777" w:rsidR="008C2349" w:rsidRDefault="008C2349" w:rsidP="003F0716">
      <w:pPr>
        <w:spacing w:after="120"/>
        <w:jc w:val="both"/>
      </w:pPr>
    </w:p>
    <w:p w14:paraId="34D02660" w14:textId="507EE454" w:rsidR="00A74A7A" w:rsidRDefault="00A74A7A" w:rsidP="00A74A7A">
      <w:pPr>
        <w:spacing w:after="120"/>
        <w:jc w:val="both"/>
        <w:rPr>
          <w:b/>
          <w:bCs/>
        </w:rPr>
      </w:pPr>
      <w:r w:rsidRPr="00A74A7A">
        <w:rPr>
          <w:b/>
          <w:bCs/>
        </w:rPr>
        <w:t>Sankční systém</w:t>
      </w:r>
      <w:r w:rsidR="005B76BE">
        <w:rPr>
          <w:b/>
          <w:bCs/>
        </w:rPr>
        <w:t xml:space="preserve"> (článek 88 2021/2116)</w:t>
      </w:r>
    </w:p>
    <w:p w14:paraId="19842378" w14:textId="7041D78B" w:rsidR="00BD15EC" w:rsidRPr="00BD15EC" w:rsidRDefault="00BD15EC" w:rsidP="00BD15EC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b/>
          <w:bCs/>
        </w:rPr>
      </w:pPr>
      <w:r>
        <w:rPr>
          <w:color w:val="000000"/>
          <w:shd w:val="clear" w:color="auto" w:fill="FFFFFF"/>
        </w:rPr>
        <w:t xml:space="preserve">Platební agentuře se </w:t>
      </w:r>
      <w:r w:rsidRPr="005B76BE">
        <w:rPr>
          <w:b/>
          <w:bCs/>
          <w:color w:val="C45911" w:themeColor="accent2" w:themeShade="BF"/>
          <w:shd w:val="clear" w:color="auto" w:fill="FFFFFF"/>
        </w:rPr>
        <w:t>oznamují nejméně jednou ročně</w:t>
      </w:r>
      <w:r w:rsidRPr="005B76BE">
        <w:rPr>
          <w:color w:val="C45911" w:themeColor="accent2" w:themeShade="BF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případy nedodržení, u nichž odpovědné orgány nebo subjekty vydaly vykonatelná rozhodnutí.</w:t>
      </w:r>
    </w:p>
    <w:p w14:paraId="210C3DBE" w14:textId="79965E65" w:rsidR="00BD15EC" w:rsidRDefault="00BD15EC" w:rsidP="00BD15EC">
      <w:pPr>
        <w:pStyle w:val="Odstavecseseznamem"/>
        <w:numPr>
          <w:ilvl w:val="0"/>
          <w:numId w:val="15"/>
        </w:numPr>
        <w:spacing w:after="120"/>
        <w:ind w:left="284" w:hanging="284"/>
        <w:jc w:val="both"/>
      </w:pPr>
      <w:r w:rsidRPr="00BD15EC">
        <w:t xml:space="preserve">Toto oznámení zahrnuje </w:t>
      </w:r>
      <w:r w:rsidRPr="005B76BE">
        <w:rPr>
          <w:b/>
          <w:bCs/>
          <w:color w:val="C45911" w:themeColor="accent2" w:themeShade="BF"/>
        </w:rPr>
        <w:t>posouzení a odstupňování závažnosti, rozsahu, trvání</w:t>
      </w:r>
      <w:r w:rsidRPr="005B76BE">
        <w:rPr>
          <w:color w:val="C45911" w:themeColor="accent2" w:themeShade="BF"/>
        </w:rPr>
        <w:t xml:space="preserve"> </w:t>
      </w:r>
      <w:r w:rsidRPr="00BD15EC">
        <w:t>nebo opakování a úmyslnosti dotčeného nedodržení.</w:t>
      </w:r>
    </w:p>
    <w:p w14:paraId="12E4F4A5" w14:textId="5A5A9A1B" w:rsidR="005B76BE" w:rsidRPr="005B76BE" w:rsidRDefault="005B76BE" w:rsidP="00BD15EC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b/>
          <w:bCs/>
          <w:color w:val="C45911" w:themeColor="accent2" w:themeShade="BF"/>
        </w:rPr>
      </w:pPr>
      <w:r w:rsidRPr="005B76BE">
        <w:rPr>
          <w:b/>
          <w:bCs/>
          <w:color w:val="C45911" w:themeColor="accent2" w:themeShade="BF"/>
        </w:rPr>
        <w:t>Členské státy mohou k provedení takového posouzení využít jakýkoli použitelný vnitrostátní systém odstupňování pracovních sankcí.</w:t>
      </w:r>
    </w:p>
    <w:p w14:paraId="3D8D9830" w14:textId="097C8E7B" w:rsidR="00BD15EC" w:rsidRDefault="00BD15EC" w:rsidP="00BD15EC">
      <w:pPr>
        <w:pStyle w:val="Odstavecseseznamem"/>
        <w:numPr>
          <w:ilvl w:val="0"/>
          <w:numId w:val="15"/>
        </w:numPr>
        <w:spacing w:after="120"/>
        <w:ind w:left="284" w:hanging="284"/>
        <w:jc w:val="both"/>
      </w:pPr>
      <w:r w:rsidRPr="00BD15EC">
        <w:t xml:space="preserve">Oznámení platební agentuře se provede pouze tehdy, pokud je nedodržení způsobeno jednáním nebo opomenutím, které lze </w:t>
      </w:r>
      <w:r w:rsidRPr="005B76BE">
        <w:rPr>
          <w:b/>
          <w:bCs/>
          <w:color w:val="C45911" w:themeColor="accent2" w:themeShade="BF"/>
        </w:rPr>
        <w:t>přímo přičíst</w:t>
      </w:r>
      <w:r w:rsidRPr="005B76BE">
        <w:rPr>
          <w:color w:val="C45911" w:themeColor="accent2" w:themeShade="BF"/>
        </w:rPr>
        <w:t xml:space="preserve"> </w:t>
      </w:r>
      <w:r w:rsidRPr="00BD15EC">
        <w:t>dotčenému příjemci</w:t>
      </w:r>
      <w:r>
        <w:t>.</w:t>
      </w:r>
    </w:p>
    <w:p w14:paraId="01621A94" w14:textId="77777777" w:rsidR="003635D6" w:rsidRPr="00BD15EC" w:rsidRDefault="003635D6" w:rsidP="003635D6">
      <w:pPr>
        <w:pStyle w:val="Odstavecseseznamem"/>
        <w:spacing w:after="120"/>
        <w:ind w:left="284"/>
        <w:jc w:val="both"/>
      </w:pPr>
    </w:p>
    <w:p w14:paraId="3A5A88F5" w14:textId="5D98548A" w:rsidR="00BD15EC" w:rsidRDefault="00BD15EC" w:rsidP="00A74A7A">
      <w:pPr>
        <w:spacing w:after="120"/>
        <w:jc w:val="both"/>
        <w:rPr>
          <w:b/>
          <w:bCs/>
        </w:rPr>
      </w:pPr>
      <w:r>
        <w:rPr>
          <w:b/>
          <w:bCs/>
        </w:rPr>
        <w:t>Uplatňování sankcí</w:t>
      </w:r>
      <w:r w:rsidR="005B76BE">
        <w:rPr>
          <w:b/>
          <w:bCs/>
        </w:rPr>
        <w:t xml:space="preserve"> (článek 89 2021/2116)</w:t>
      </w:r>
    </w:p>
    <w:p w14:paraId="6E82C964" w14:textId="79FA1DFD" w:rsidR="00BD15EC" w:rsidRPr="003C6D81" w:rsidRDefault="00BD15EC" w:rsidP="00BD15EC">
      <w:pPr>
        <w:pStyle w:val="Odstavecseseznamem"/>
        <w:numPr>
          <w:ilvl w:val="0"/>
          <w:numId w:val="16"/>
        </w:numPr>
        <w:spacing w:after="120"/>
        <w:ind w:left="284" w:hanging="284"/>
        <w:jc w:val="both"/>
        <w:rPr>
          <w:u w:val="single"/>
        </w:rPr>
      </w:pPr>
      <w:r w:rsidRPr="00BD15EC">
        <w:t>Snížení nebo vyloučení celkové částky plateb</w:t>
      </w:r>
      <w:r>
        <w:t xml:space="preserve"> </w:t>
      </w:r>
      <w:r w:rsidRPr="00BD15EC">
        <w:t xml:space="preserve">v souvislosti se žádostmi o podporu, které uvedený příjemce podal nebo podá během kalendářního roku, </w:t>
      </w:r>
      <w:r w:rsidRPr="003C6D81">
        <w:rPr>
          <w:b/>
          <w:bCs/>
          <w:color w:val="C45911" w:themeColor="accent2" w:themeShade="BF"/>
        </w:rPr>
        <w:t>v němž došlo ke zjištění nedodržení</w:t>
      </w:r>
      <w:r w:rsidRPr="003C6D81">
        <w:t>.</w:t>
      </w:r>
    </w:p>
    <w:p w14:paraId="098ACD1A" w14:textId="5EFABC87" w:rsidR="00BD15EC" w:rsidRPr="003C6D81" w:rsidRDefault="00BD15EC" w:rsidP="00BD15EC">
      <w:pPr>
        <w:pStyle w:val="Odstavecseseznamem"/>
        <w:numPr>
          <w:ilvl w:val="0"/>
          <w:numId w:val="16"/>
        </w:numPr>
        <w:spacing w:after="120"/>
        <w:ind w:left="284" w:hanging="284"/>
        <w:jc w:val="both"/>
        <w:rPr>
          <w:b/>
          <w:bCs/>
          <w:color w:val="C45911" w:themeColor="accent2" w:themeShade="BF"/>
        </w:rPr>
      </w:pPr>
      <w:r w:rsidRPr="00BD15EC">
        <w:t xml:space="preserve">Snížení nebo vyloučení se vypočítají </w:t>
      </w:r>
      <w:r w:rsidRPr="003C6D81">
        <w:rPr>
          <w:b/>
          <w:bCs/>
          <w:color w:val="C45911" w:themeColor="accent2" w:themeShade="BF"/>
        </w:rPr>
        <w:t>na základě plateb, které byly nebo mají být poskytnuty v kalendářním roce</w:t>
      </w:r>
      <w:r w:rsidRPr="003C6D81">
        <w:t>, v němž k nedodržení došlo</w:t>
      </w:r>
      <w:r w:rsidRPr="00BD15EC">
        <w:t>.</w:t>
      </w:r>
      <w:r>
        <w:t xml:space="preserve"> </w:t>
      </w:r>
      <w:r w:rsidRPr="00BD15EC">
        <w:t>Pokud však není možné určit kalendářní rok, v němž k nedodržení došlo, vypočítají se snížení nebo vyloučení na</w:t>
      </w:r>
      <w:r w:rsidR="00780D81">
        <w:t> </w:t>
      </w:r>
      <w:r w:rsidRPr="00BD15EC">
        <w:t xml:space="preserve">základě plateb, které byly nebo mají být poskytnuty v kalendářním roce, </w:t>
      </w:r>
      <w:r w:rsidRPr="003C6D81">
        <w:rPr>
          <w:b/>
          <w:bCs/>
          <w:color w:val="C45911" w:themeColor="accent2" w:themeShade="BF"/>
        </w:rPr>
        <w:t>v němž došlo ke zjištění nedodržení</w:t>
      </w:r>
      <w:r w:rsidRPr="003C6D81">
        <w:t>.</w:t>
      </w:r>
    </w:p>
    <w:p w14:paraId="53C572F3" w14:textId="541F8226" w:rsidR="00BD15EC" w:rsidRDefault="00BD15EC" w:rsidP="00BD15EC">
      <w:pPr>
        <w:pStyle w:val="Odstavecseseznamem"/>
        <w:numPr>
          <w:ilvl w:val="0"/>
          <w:numId w:val="16"/>
        </w:numPr>
        <w:spacing w:after="120"/>
        <w:ind w:left="284" w:hanging="284"/>
        <w:jc w:val="both"/>
      </w:pPr>
      <w:r w:rsidRPr="00BD15EC">
        <w:t xml:space="preserve">Při výpočtu těchto snížení a vyloučení se </w:t>
      </w:r>
      <w:r w:rsidRPr="003C6D81">
        <w:rPr>
          <w:b/>
          <w:bCs/>
          <w:color w:val="C45911" w:themeColor="accent2" w:themeShade="BF"/>
        </w:rPr>
        <w:t>zohlední závažnost, rozsah, trvání či</w:t>
      </w:r>
      <w:r w:rsidR="00780D81">
        <w:rPr>
          <w:b/>
          <w:bCs/>
          <w:color w:val="C45911" w:themeColor="accent2" w:themeShade="BF"/>
        </w:rPr>
        <w:t> </w:t>
      </w:r>
      <w:r w:rsidRPr="003C6D81">
        <w:rPr>
          <w:b/>
          <w:bCs/>
          <w:color w:val="C45911" w:themeColor="accent2" w:themeShade="BF"/>
        </w:rPr>
        <w:t xml:space="preserve">opakování a úmyslnost </w:t>
      </w:r>
      <w:r w:rsidRPr="00BD15EC">
        <w:t xml:space="preserve">zjištěného nedodržení podle posouzení </w:t>
      </w:r>
      <w:r>
        <w:t xml:space="preserve">odpovědných </w:t>
      </w:r>
      <w:r w:rsidRPr="00BD15EC">
        <w:t>orgánů nebo subjektů</w:t>
      </w:r>
      <w:r>
        <w:t>.</w:t>
      </w:r>
    </w:p>
    <w:p w14:paraId="43773A04" w14:textId="78E6DE56" w:rsidR="00BD15EC" w:rsidRDefault="00BD15EC" w:rsidP="003C7CB3">
      <w:pPr>
        <w:pStyle w:val="Odstavecseseznamem"/>
        <w:numPr>
          <w:ilvl w:val="0"/>
          <w:numId w:val="16"/>
        </w:numPr>
        <w:spacing w:after="120"/>
        <w:ind w:left="284" w:hanging="284"/>
        <w:contextualSpacing w:val="0"/>
        <w:jc w:val="both"/>
      </w:pPr>
      <w:r>
        <w:t>Výpočet snížení dle pravidel podmíněnosti (čl. 85)</w:t>
      </w:r>
    </w:p>
    <w:p w14:paraId="5D79C267" w14:textId="4FEAF929" w:rsidR="003C6D81" w:rsidRDefault="003C6D81" w:rsidP="003C6D81">
      <w:pPr>
        <w:pStyle w:val="Odstavecseseznamem"/>
        <w:spacing w:after="120"/>
        <w:ind w:left="284"/>
        <w:jc w:val="both"/>
      </w:pPr>
      <w:r>
        <w:t>- odst. 2 – pravidlo 3 %</w:t>
      </w:r>
      <w:r w:rsidR="003C7CB3">
        <w:t xml:space="preserve"> snížení</w:t>
      </w:r>
    </w:p>
    <w:p w14:paraId="43E1DBC9" w14:textId="426FA07D" w:rsidR="003C7CB3" w:rsidRDefault="003C7CB3" w:rsidP="003C6D81">
      <w:pPr>
        <w:pStyle w:val="Odstavecseseznamem"/>
        <w:spacing w:after="120"/>
        <w:ind w:left="284"/>
        <w:jc w:val="both"/>
      </w:pPr>
      <w:r>
        <w:t xml:space="preserve">- odst. 5 – závažné důsledky → </w:t>
      </w:r>
      <w:r w:rsidRPr="003C7CB3">
        <w:t>vyšší procentní snížení</w:t>
      </w:r>
      <w:r>
        <w:t xml:space="preserve"> (5 %)</w:t>
      </w:r>
    </w:p>
    <w:p w14:paraId="18FC23B8" w14:textId="23ED9BE3" w:rsidR="003C7CB3" w:rsidRDefault="003C7CB3" w:rsidP="003C7CB3">
      <w:pPr>
        <w:pStyle w:val="Odstavecseseznamem"/>
        <w:spacing w:after="120"/>
        <w:ind w:left="1418" w:hanging="1134"/>
        <w:jc w:val="both"/>
      </w:pPr>
      <w:r>
        <w:t xml:space="preserve">- odst. 6 – opakování nebo přetrvávání v období </w:t>
      </w:r>
      <w:r w:rsidRPr="003C7CB3">
        <w:t xml:space="preserve"> tří po sobě následujících kalendářních let</w:t>
      </w:r>
      <w:r>
        <w:t xml:space="preserve"> → 10 %</w:t>
      </w:r>
    </w:p>
    <w:p w14:paraId="2A8A7C00" w14:textId="0775D1FB" w:rsidR="008730AB" w:rsidRDefault="003C7CB3" w:rsidP="008730AB">
      <w:pPr>
        <w:pStyle w:val="Odstavecseseznamem"/>
        <w:spacing w:after="120"/>
        <w:ind w:left="1418" w:hanging="142"/>
        <w:jc w:val="both"/>
      </w:pPr>
      <w:r>
        <w:t>- další opakování porušení se považuje za úmyslné.</w:t>
      </w:r>
    </w:p>
    <w:p w14:paraId="3A3DCC84" w14:textId="77777777" w:rsidR="008730AB" w:rsidRDefault="008730AB" w:rsidP="008730AB">
      <w:pPr>
        <w:pStyle w:val="Odstavecseseznamem"/>
        <w:spacing w:after="120"/>
        <w:ind w:left="1418" w:hanging="142"/>
        <w:jc w:val="both"/>
      </w:pPr>
    </w:p>
    <w:p w14:paraId="56B75EC7" w14:textId="711D74D0" w:rsidR="008730AB" w:rsidRDefault="008730AB" w:rsidP="008730AB">
      <w:pPr>
        <w:pStyle w:val="Odstavecseseznamem"/>
        <w:numPr>
          <w:ilvl w:val="0"/>
          <w:numId w:val="18"/>
        </w:numPr>
        <w:spacing w:after="120"/>
        <w:ind w:left="284" w:hanging="284"/>
        <w:jc w:val="both"/>
      </w:pPr>
      <w:r>
        <w:t xml:space="preserve">Pro stanovení sankce v rámci podmínek sociální podmíněnosti </w:t>
      </w:r>
      <w:r w:rsidRPr="008730AB">
        <w:rPr>
          <w:b/>
          <w:bCs/>
          <w:color w:val="C45911" w:themeColor="accent2" w:themeShade="BF"/>
        </w:rPr>
        <w:t>nejsou relevantní ustanovení nařízení (EU) 2022/1172</w:t>
      </w:r>
      <w:r w:rsidRPr="008730AB">
        <w:rPr>
          <w:color w:val="C45911" w:themeColor="accent2" w:themeShade="BF"/>
        </w:rPr>
        <w:t xml:space="preserve"> </w:t>
      </w:r>
      <w:r w:rsidRPr="008730AB">
        <w:t>kterým se doplňuje nařízení Evropského parlamentu a Rady (EU) 2021/2116, pokud jde o integrovaný administrativní a kontrolní syst</w:t>
      </w:r>
      <w:r>
        <w:t>é</w:t>
      </w:r>
      <w:r w:rsidRPr="008730AB">
        <w:t>m v oblasti společné zemědělské politiky a uplatňování a výpočet správních sankcí v souvislosti s</w:t>
      </w:r>
      <w:r>
        <w:t> </w:t>
      </w:r>
      <w:r w:rsidRPr="008730AB">
        <w:t>podmíněností</w:t>
      </w:r>
      <w:r>
        <w:t xml:space="preserve"> (sčítání snížení).</w:t>
      </w:r>
    </w:p>
    <w:p w14:paraId="737FE942" w14:textId="77777777" w:rsidR="00BD15EC" w:rsidRDefault="00BD15EC" w:rsidP="00BD15EC">
      <w:pPr>
        <w:pStyle w:val="Odstavecseseznamem"/>
        <w:spacing w:after="120"/>
        <w:ind w:left="284"/>
        <w:jc w:val="both"/>
      </w:pPr>
    </w:p>
    <w:p w14:paraId="6DD4A481" w14:textId="77777777" w:rsidR="003635D6" w:rsidRPr="00BD15EC" w:rsidRDefault="003635D6" w:rsidP="00BD15EC">
      <w:pPr>
        <w:pStyle w:val="Odstavecseseznamem"/>
        <w:spacing w:after="120"/>
        <w:ind w:left="284"/>
        <w:jc w:val="both"/>
      </w:pPr>
    </w:p>
    <w:p w14:paraId="4F2CB222" w14:textId="656AD779" w:rsidR="003C7CB3" w:rsidRPr="003C7CB3" w:rsidRDefault="00970302" w:rsidP="00B45D88">
      <w:pPr>
        <w:pStyle w:val="Nadpis1"/>
        <w:numPr>
          <w:ilvl w:val="0"/>
          <w:numId w:val="19"/>
        </w:numPr>
        <w:spacing w:before="120"/>
        <w:ind w:left="284" w:hanging="284"/>
      </w:pPr>
      <w:bookmarkStart w:id="11" w:name="_Toc162512844"/>
      <w:r w:rsidRPr="006722A0">
        <w:t xml:space="preserve">Strategický plán </w:t>
      </w:r>
      <w:r w:rsidR="001C4FEE">
        <w:t xml:space="preserve">ČR </w:t>
      </w:r>
      <w:r w:rsidRPr="006722A0">
        <w:t>2023-2027</w:t>
      </w:r>
      <w:bookmarkEnd w:id="11"/>
    </w:p>
    <w:p w14:paraId="55F9C89A" w14:textId="697320AA" w:rsidR="006722A0" w:rsidRPr="003C7CB3" w:rsidRDefault="003C7CB3" w:rsidP="003C7CB3">
      <w:pPr>
        <w:jc w:val="both"/>
        <w:rPr>
          <w:szCs w:val="24"/>
        </w:rPr>
      </w:pPr>
      <w:r w:rsidRPr="003C7CB3">
        <w:rPr>
          <w:szCs w:val="24"/>
        </w:rPr>
        <w:t>Nutná modifikace SP</w:t>
      </w:r>
      <w:r>
        <w:rPr>
          <w:szCs w:val="24"/>
        </w:rPr>
        <w:t xml:space="preserve"> kapitoly</w:t>
      </w:r>
      <w:r w:rsidR="006722A0">
        <w:rPr>
          <w:b/>
          <w:bCs/>
          <w:szCs w:val="24"/>
        </w:rPr>
        <w:t xml:space="preserve"> </w:t>
      </w:r>
      <w:r w:rsidR="006722A0" w:rsidRPr="006722A0">
        <w:rPr>
          <w:b/>
          <w:bCs/>
          <w:szCs w:val="24"/>
        </w:rPr>
        <w:t>7.5 Sociální podmíněnost</w:t>
      </w:r>
      <w:r>
        <w:rPr>
          <w:b/>
          <w:bCs/>
          <w:szCs w:val="24"/>
        </w:rPr>
        <w:t xml:space="preserve">. </w:t>
      </w:r>
      <w:r w:rsidRPr="003C7CB3">
        <w:rPr>
          <w:szCs w:val="24"/>
        </w:rPr>
        <w:t>Popis systému má zahrnovat, na které žadatele se systém vztahuje</w:t>
      </w:r>
      <w:r>
        <w:rPr>
          <w:szCs w:val="24"/>
        </w:rPr>
        <w:t xml:space="preserve"> a pravidla pro </w:t>
      </w:r>
      <w:r w:rsidRPr="003C7CB3">
        <w:rPr>
          <w:szCs w:val="24"/>
        </w:rPr>
        <w:t>účinný a přiměřený systém správních sankcí.</w:t>
      </w:r>
    </w:p>
    <w:p w14:paraId="4987EB4F" w14:textId="73CF011C" w:rsidR="00BD15EC" w:rsidRPr="00BD15EC" w:rsidRDefault="00BD15EC" w:rsidP="006722A0">
      <w:pPr>
        <w:rPr>
          <w:i/>
          <w:iCs/>
          <w:szCs w:val="24"/>
        </w:rPr>
      </w:pPr>
      <w:r w:rsidRPr="00BD15EC">
        <w:rPr>
          <w:i/>
          <w:iCs/>
          <w:szCs w:val="24"/>
        </w:rPr>
        <w:t>(aktuální text)</w:t>
      </w:r>
    </w:p>
    <w:p w14:paraId="6A91927C" w14:textId="77777777" w:rsidR="006722A0" w:rsidRPr="006722A0" w:rsidRDefault="006722A0" w:rsidP="006722A0">
      <w:pPr>
        <w:rPr>
          <w:b/>
          <w:bCs/>
          <w:szCs w:val="24"/>
        </w:rPr>
      </w:pPr>
      <w:r w:rsidRPr="006722A0">
        <w:rPr>
          <w:b/>
          <w:bCs/>
          <w:szCs w:val="24"/>
        </w:rPr>
        <w:t>7.5.1 Popis systému kontroly pro sociální podmíněnost</w:t>
      </w:r>
    </w:p>
    <w:p w14:paraId="37955980" w14:textId="7950C03D" w:rsidR="006722A0" w:rsidRPr="006722A0" w:rsidRDefault="006722A0" w:rsidP="006722A0">
      <w:pPr>
        <w:rPr>
          <w:szCs w:val="24"/>
        </w:rPr>
      </w:pPr>
      <w:r w:rsidRPr="006722A0">
        <w:rPr>
          <w:szCs w:val="24"/>
        </w:rPr>
        <w:t xml:space="preserve">Česká republika využije přechodného období a sociální </w:t>
      </w:r>
      <w:proofErr w:type="spellStart"/>
      <w:r w:rsidRPr="006722A0">
        <w:rPr>
          <w:szCs w:val="24"/>
        </w:rPr>
        <w:t>kondicionalitu</w:t>
      </w:r>
      <w:proofErr w:type="spellEnd"/>
      <w:r w:rsidRPr="006722A0">
        <w:rPr>
          <w:szCs w:val="24"/>
        </w:rPr>
        <w:t xml:space="preserve"> zavede až od roku 2025, a to prostřednictvím modifikace Strategického plánu.</w:t>
      </w:r>
    </w:p>
    <w:p w14:paraId="779767AD" w14:textId="77777777" w:rsidR="006722A0" w:rsidRPr="006722A0" w:rsidRDefault="006722A0" w:rsidP="006722A0">
      <w:pPr>
        <w:rPr>
          <w:b/>
          <w:bCs/>
          <w:szCs w:val="24"/>
        </w:rPr>
      </w:pPr>
      <w:r w:rsidRPr="006722A0">
        <w:rPr>
          <w:b/>
          <w:bCs/>
          <w:szCs w:val="24"/>
        </w:rPr>
        <w:t>7.5.2 Popis systému sankcí pro sociální podmíněnost</w:t>
      </w:r>
    </w:p>
    <w:p w14:paraId="0117F257" w14:textId="42262E86" w:rsidR="003635D6" w:rsidRDefault="006722A0" w:rsidP="006722A0">
      <w:pPr>
        <w:rPr>
          <w:szCs w:val="24"/>
        </w:rPr>
      </w:pPr>
      <w:r w:rsidRPr="006722A0">
        <w:rPr>
          <w:szCs w:val="24"/>
        </w:rPr>
        <w:t xml:space="preserve">Česká republika využije přechodného období a sociální </w:t>
      </w:r>
      <w:proofErr w:type="spellStart"/>
      <w:r w:rsidRPr="006722A0">
        <w:rPr>
          <w:szCs w:val="24"/>
        </w:rPr>
        <w:t>kondicionalitu</w:t>
      </w:r>
      <w:proofErr w:type="spellEnd"/>
      <w:r w:rsidRPr="006722A0">
        <w:rPr>
          <w:szCs w:val="24"/>
        </w:rPr>
        <w:t xml:space="preserve"> zavede až od roku 2025, a to prostřednictvím modifikace Strategického plánu.</w:t>
      </w:r>
    </w:p>
    <w:p w14:paraId="785B6EA7" w14:textId="77777777" w:rsidR="00BD0D4D" w:rsidRPr="006722A0" w:rsidRDefault="00BD0D4D" w:rsidP="006722A0">
      <w:pPr>
        <w:rPr>
          <w:szCs w:val="24"/>
        </w:rPr>
      </w:pPr>
    </w:p>
    <w:p w14:paraId="20EB50DC" w14:textId="6BBC35AC" w:rsidR="00627037" w:rsidRPr="003635D6" w:rsidRDefault="00627037" w:rsidP="00B45D88">
      <w:pPr>
        <w:pStyle w:val="Nadpis1"/>
        <w:numPr>
          <w:ilvl w:val="0"/>
          <w:numId w:val="19"/>
        </w:numPr>
        <w:ind w:left="284" w:hanging="284"/>
        <w:jc w:val="both"/>
      </w:pPr>
      <w:bookmarkStart w:id="12" w:name="_Toc162512845"/>
      <w:r w:rsidRPr="003635D6">
        <w:rPr>
          <w:rStyle w:val="Nadpis1Char"/>
          <w:b/>
          <w:shd w:val="clear" w:color="auto" w:fill="auto"/>
        </w:rPr>
        <w:t>Státy, které již uplatňují Soc</w:t>
      </w:r>
      <w:r w:rsidR="003635D6">
        <w:rPr>
          <w:rStyle w:val="Nadpis1Char"/>
          <w:b/>
          <w:shd w:val="clear" w:color="auto" w:fill="auto"/>
        </w:rPr>
        <w:t>iální podmíněnost</w:t>
      </w:r>
      <w:r w:rsidR="001A5242" w:rsidRPr="003635D6">
        <w:rPr>
          <w:rStyle w:val="Nadpis1Char"/>
          <w:b/>
          <w:shd w:val="clear" w:color="auto" w:fill="auto"/>
        </w:rPr>
        <w:t xml:space="preserve"> / informace</w:t>
      </w:r>
      <w:bookmarkEnd w:id="12"/>
      <w:r w:rsidR="001A5242" w:rsidRPr="003635D6">
        <w:rPr>
          <w:rStyle w:val="Nadpis1Char"/>
          <w:b/>
          <w:shd w:val="clear" w:color="auto" w:fill="auto"/>
        </w:rPr>
        <w:t xml:space="preserve"> </w:t>
      </w:r>
    </w:p>
    <w:p w14:paraId="4CB81344" w14:textId="7EB89449" w:rsidR="001A5242" w:rsidRDefault="001A5242" w:rsidP="003635D6">
      <w:pPr>
        <w:spacing w:after="0"/>
        <w:ind w:left="1276" w:hanging="1276"/>
        <w:jc w:val="both"/>
        <w:rPr>
          <w:szCs w:val="24"/>
        </w:rPr>
      </w:pPr>
      <w:r w:rsidRPr="001A5242">
        <w:rPr>
          <w:b/>
          <w:bCs/>
          <w:szCs w:val="24"/>
        </w:rPr>
        <w:t>Rakousko</w:t>
      </w:r>
      <w:r>
        <w:rPr>
          <w:b/>
          <w:bCs/>
          <w:szCs w:val="24"/>
        </w:rPr>
        <w:t xml:space="preserve"> </w:t>
      </w:r>
      <w:r w:rsidR="003635D6">
        <w:rPr>
          <w:b/>
          <w:bCs/>
          <w:szCs w:val="24"/>
        </w:rPr>
        <w:t xml:space="preserve"> </w:t>
      </w:r>
      <w:r w:rsidR="003635D6" w:rsidRPr="003635D6">
        <w:rPr>
          <w:szCs w:val="24"/>
        </w:rPr>
        <w:t>Sociální podmíněnost uplatňují od 1.1.2023.</w:t>
      </w:r>
      <w:r w:rsidR="003635D6">
        <w:rPr>
          <w:b/>
          <w:bCs/>
          <w:szCs w:val="24"/>
        </w:rPr>
        <w:t xml:space="preserve"> </w:t>
      </w:r>
      <w:r w:rsidR="003635D6">
        <w:rPr>
          <w:szCs w:val="24"/>
        </w:rPr>
        <w:t>P</w:t>
      </w:r>
      <w:r w:rsidRPr="001A5242">
        <w:rPr>
          <w:szCs w:val="24"/>
        </w:rPr>
        <w:t xml:space="preserve">ředmětné směrnice v Rakousku kontrolují inspektoráty práce a </w:t>
      </w:r>
      <w:r w:rsidR="003635D6">
        <w:rPr>
          <w:szCs w:val="24"/>
        </w:rPr>
        <w:t xml:space="preserve">státní </w:t>
      </w:r>
      <w:r w:rsidRPr="001A5242">
        <w:rPr>
          <w:szCs w:val="24"/>
        </w:rPr>
        <w:t xml:space="preserve">lesnická inspekce. </w:t>
      </w:r>
    </w:p>
    <w:p w14:paraId="54E99FF6" w14:textId="0CE2A5E0" w:rsidR="003635D6" w:rsidRPr="003635D6" w:rsidRDefault="003635D6" w:rsidP="0060026E">
      <w:pPr>
        <w:spacing w:after="120"/>
        <w:ind w:left="1276"/>
        <w:jc w:val="both"/>
        <w:rPr>
          <w:szCs w:val="24"/>
        </w:rPr>
      </w:pPr>
      <w:r w:rsidRPr="003635D6">
        <w:rPr>
          <w:szCs w:val="24"/>
        </w:rPr>
        <w:t>Zjištěná porušení jsou sledována okresními správními úřady a postihována příslušnými správními sankcemi.</w:t>
      </w:r>
      <w:r>
        <w:rPr>
          <w:szCs w:val="24"/>
        </w:rPr>
        <w:t xml:space="preserve"> </w:t>
      </w:r>
      <w:r w:rsidR="0060026E">
        <w:rPr>
          <w:szCs w:val="24"/>
        </w:rPr>
        <w:t>O</w:t>
      </w:r>
      <w:r w:rsidR="0060026E" w:rsidRPr="0060026E">
        <w:rPr>
          <w:szCs w:val="24"/>
        </w:rPr>
        <w:t xml:space="preserve"> stížnostech na správní sankce uložené okresními správními úřady</w:t>
      </w:r>
      <w:r w:rsidR="0060026E">
        <w:rPr>
          <w:szCs w:val="24"/>
        </w:rPr>
        <w:t xml:space="preserve"> rozhoduje </w:t>
      </w:r>
      <w:r w:rsidR="0060026E" w:rsidRPr="0060026E">
        <w:rPr>
          <w:szCs w:val="24"/>
        </w:rPr>
        <w:t>místně příslušný státní správní soud.</w:t>
      </w:r>
    </w:p>
    <w:p w14:paraId="2FA3BAFC" w14:textId="4BB34B3A" w:rsidR="001A5242" w:rsidRPr="001A5242" w:rsidRDefault="001A5242" w:rsidP="003635D6">
      <w:pPr>
        <w:spacing w:after="120"/>
        <w:ind w:left="1276"/>
        <w:jc w:val="both"/>
        <w:rPr>
          <w:szCs w:val="24"/>
        </w:rPr>
      </w:pPr>
      <w:r w:rsidRPr="001A5242">
        <w:rPr>
          <w:szCs w:val="24"/>
        </w:rPr>
        <w:t>Budou mít zákonem stanoveno, že v případě uložené sankce v souvislosti se soc. opatřeními v řízení, které nabylo právní moci, budou tato oznámena AMA.</w:t>
      </w:r>
      <w:r w:rsidR="0060026E">
        <w:rPr>
          <w:szCs w:val="24"/>
        </w:rPr>
        <w:t xml:space="preserve"> I</w:t>
      </w:r>
      <w:r w:rsidRPr="001A5242">
        <w:rPr>
          <w:szCs w:val="24"/>
        </w:rPr>
        <w:t xml:space="preserve">nformace </w:t>
      </w:r>
      <w:r w:rsidR="0060026E">
        <w:rPr>
          <w:szCs w:val="24"/>
        </w:rPr>
        <w:t>o porušení jsou</w:t>
      </w:r>
      <w:r w:rsidRPr="001A5242">
        <w:rPr>
          <w:szCs w:val="24"/>
        </w:rPr>
        <w:t xml:space="preserve"> předávány platební agentuře.</w:t>
      </w:r>
    </w:p>
    <w:p w14:paraId="6639919C" w14:textId="57D0D65A" w:rsidR="0060026E" w:rsidRDefault="0060026E" w:rsidP="0060026E">
      <w:pPr>
        <w:spacing w:after="120"/>
        <w:ind w:left="1276"/>
        <w:jc w:val="both"/>
        <w:rPr>
          <w:szCs w:val="24"/>
        </w:rPr>
      </w:pPr>
      <w:r w:rsidRPr="0060026E">
        <w:rPr>
          <w:szCs w:val="24"/>
        </w:rPr>
        <w:t>Sankční systém je vypracován po konzultaci s příslušnými sociálními partnery - konkrétně Svazem zemědělských dělnických komor, Spolkovou komorou práce a Rakouskou zemědělskou komorou</w:t>
      </w:r>
      <w:r>
        <w:rPr>
          <w:szCs w:val="24"/>
        </w:rPr>
        <w:t xml:space="preserve">, </w:t>
      </w:r>
      <w:r w:rsidRPr="0060026E">
        <w:rPr>
          <w:szCs w:val="24"/>
        </w:rPr>
        <w:t>federální</w:t>
      </w:r>
      <w:r w:rsidR="00761C9E">
        <w:rPr>
          <w:szCs w:val="24"/>
        </w:rPr>
        <w:t>m</w:t>
      </w:r>
      <w:r w:rsidRPr="0060026E">
        <w:rPr>
          <w:szCs w:val="24"/>
        </w:rPr>
        <w:t xml:space="preserve"> ministerstv</w:t>
      </w:r>
      <w:r w:rsidR="00761C9E">
        <w:rPr>
          <w:szCs w:val="24"/>
        </w:rPr>
        <w:t>em</w:t>
      </w:r>
      <w:r w:rsidRPr="0060026E">
        <w:rPr>
          <w:szCs w:val="24"/>
        </w:rPr>
        <w:t xml:space="preserve"> práce odpovědn</w:t>
      </w:r>
      <w:r w:rsidR="00761C9E">
        <w:rPr>
          <w:szCs w:val="24"/>
        </w:rPr>
        <w:t>ým</w:t>
      </w:r>
      <w:r w:rsidRPr="0060026E">
        <w:rPr>
          <w:szCs w:val="24"/>
        </w:rPr>
        <w:t xml:space="preserve"> za pracovněprávní záležitosti, </w:t>
      </w:r>
      <w:r w:rsidR="00761C9E">
        <w:rPr>
          <w:szCs w:val="24"/>
        </w:rPr>
        <w:t>z</w:t>
      </w:r>
      <w:r w:rsidR="00780D81">
        <w:rPr>
          <w:szCs w:val="24"/>
        </w:rPr>
        <w:t>e</w:t>
      </w:r>
      <w:r w:rsidR="00761C9E">
        <w:rPr>
          <w:szCs w:val="24"/>
        </w:rPr>
        <w:t xml:space="preserve">mě </w:t>
      </w:r>
      <w:r w:rsidRPr="0060026E">
        <w:rPr>
          <w:szCs w:val="24"/>
        </w:rPr>
        <w:t>odpovědné za prosazování zákona o práci v zemědělství, BML jako správní orgán a AMA.</w:t>
      </w:r>
    </w:p>
    <w:p w14:paraId="31ACC2C1" w14:textId="6CCBAE32" w:rsidR="00761C9E" w:rsidRPr="00761C9E" w:rsidRDefault="00761C9E" w:rsidP="00761C9E">
      <w:pPr>
        <w:spacing w:after="0"/>
        <w:ind w:left="1276"/>
        <w:jc w:val="both"/>
        <w:rPr>
          <w:szCs w:val="24"/>
        </w:rPr>
      </w:pPr>
      <w:r w:rsidRPr="00761C9E">
        <w:rPr>
          <w:szCs w:val="24"/>
        </w:rPr>
        <w:t>Bodový systém používaný v podmíněnosti se také používá jako systém hodnocení</w:t>
      </w:r>
      <w:r>
        <w:rPr>
          <w:szCs w:val="24"/>
        </w:rPr>
        <w:t xml:space="preserve">. </w:t>
      </w:r>
      <w:r w:rsidRPr="00761C9E">
        <w:rPr>
          <w:szCs w:val="24"/>
        </w:rPr>
        <w:t>Sankce se používají jako součást sociální podmíněnosti. Stanovení</w:t>
      </w:r>
    </w:p>
    <w:p w14:paraId="2365BA70" w14:textId="01BC1FC7" w:rsidR="00627037" w:rsidRDefault="00761C9E" w:rsidP="009D53D5">
      <w:pPr>
        <w:spacing w:after="120"/>
        <w:ind w:left="1276"/>
        <w:jc w:val="both"/>
        <w:rPr>
          <w:szCs w:val="24"/>
        </w:rPr>
      </w:pPr>
      <w:r w:rsidRPr="00761C9E">
        <w:rPr>
          <w:szCs w:val="24"/>
        </w:rPr>
        <w:lastRenderedPageBreak/>
        <w:t>Závažnost, rozsah a trvání každého z nich jsou určeny na základě odpovídající kategorie porušení</w:t>
      </w:r>
      <w:r>
        <w:rPr>
          <w:szCs w:val="24"/>
        </w:rPr>
        <w:t xml:space="preserve">, </w:t>
      </w:r>
      <w:r w:rsidRPr="00761C9E">
        <w:rPr>
          <w:szCs w:val="24"/>
        </w:rPr>
        <w:t xml:space="preserve">jehož body se udělují. </w:t>
      </w:r>
      <w:r>
        <w:rPr>
          <w:szCs w:val="24"/>
        </w:rPr>
        <w:t>Hodnocení</w:t>
      </w:r>
      <w:r w:rsidRPr="00761C9E">
        <w:rPr>
          <w:szCs w:val="24"/>
        </w:rPr>
        <w:t xml:space="preserve"> je stanoveno v katalogu hodnocení.</w:t>
      </w:r>
      <w:r>
        <w:rPr>
          <w:szCs w:val="24"/>
        </w:rPr>
        <w:t xml:space="preserve"> M</w:t>
      </w:r>
      <w:r w:rsidR="001A5242" w:rsidRPr="001A5242">
        <w:rPr>
          <w:szCs w:val="24"/>
        </w:rPr>
        <w:t>ají bodový systém) - lehké (1 bod), střední (3 body) a těžké (5</w:t>
      </w:r>
      <w:r w:rsidR="00780D81">
        <w:rPr>
          <w:szCs w:val="24"/>
        </w:rPr>
        <w:t> </w:t>
      </w:r>
      <w:r w:rsidR="001A5242" w:rsidRPr="001A5242">
        <w:rPr>
          <w:szCs w:val="24"/>
        </w:rPr>
        <w:t>bodů).</w:t>
      </w:r>
    </w:p>
    <w:p w14:paraId="4E29B386" w14:textId="3B4D903C" w:rsidR="006E4590" w:rsidRDefault="006E4590" w:rsidP="001A5242">
      <w:pPr>
        <w:spacing w:after="0"/>
        <w:ind w:left="1276"/>
        <w:jc w:val="both"/>
        <w:rPr>
          <w:szCs w:val="24"/>
        </w:rPr>
      </w:pPr>
      <w:r>
        <w:rPr>
          <w:szCs w:val="24"/>
        </w:rPr>
        <w:t xml:space="preserve">SP verze </w:t>
      </w:r>
      <w:r w:rsidR="00761C9E">
        <w:rPr>
          <w:szCs w:val="24"/>
        </w:rPr>
        <w:t xml:space="preserve">1.2. </w:t>
      </w:r>
      <w:r>
        <w:rPr>
          <w:szCs w:val="24"/>
        </w:rPr>
        <w:t>k 4. 11. 2022 (str. 1254)</w:t>
      </w:r>
    </w:p>
    <w:p w14:paraId="431C33B5" w14:textId="689E3BDA" w:rsidR="006E4590" w:rsidRDefault="00185795" w:rsidP="001A5242">
      <w:pPr>
        <w:spacing w:after="0"/>
        <w:ind w:left="1276"/>
        <w:jc w:val="both"/>
        <w:rPr>
          <w:szCs w:val="24"/>
        </w:rPr>
      </w:pPr>
      <w:hyperlink r:id="rId11" w:history="1">
        <w:r w:rsidR="006E4590" w:rsidRPr="006E4590">
          <w:rPr>
            <w:rStyle w:val="Hypertextovodkaz"/>
            <w:szCs w:val="24"/>
          </w:rPr>
          <w:t>GAP_1_2.pdf (bml.gv.at)</w:t>
        </w:r>
      </w:hyperlink>
    </w:p>
    <w:p w14:paraId="63CBE99C" w14:textId="77777777" w:rsidR="00BE43C4" w:rsidRPr="001A5242" w:rsidRDefault="00BE43C4" w:rsidP="001A5242">
      <w:pPr>
        <w:spacing w:after="0"/>
        <w:ind w:left="1276"/>
        <w:jc w:val="both"/>
        <w:rPr>
          <w:szCs w:val="24"/>
        </w:rPr>
      </w:pPr>
    </w:p>
    <w:p w14:paraId="109F5466" w14:textId="5C1BFF53" w:rsidR="00853E1D" w:rsidRDefault="001A5242" w:rsidP="00BE43C4">
      <w:pPr>
        <w:spacing w:after="0"/>
        <w:ind w:left="1276" w:hanging="1276"/>
        <w:jc w:val="both"/>
        <w:rPr>
          <w:szCs w:val="24"/>
        </w:rPr>
      </w:pPr>
      <w:r w:rsidRPr="001A5242">
        <w:rPr>
          <w:b/>
          <w:bCs/>
          <w:szCs w:val="24"/>
        </w:rPr>
        <w:t>Itálie</w:t>
      </w:r>
      <w:r w:rsidR="00BE43C4">
        <w:rPr>
          <w:b/>
          <w:bCs/>
          <w:szCs w:val="24"/>
        </w:rPr>
        <w:t xml:space="preserve"> </w:t>
      </w:r>
      <w:r w:rsidR="00BE43C4">
        <w:rPr>
          <w:szCs w:val="24"/>
        </w:rPr>
        <w:t xml:space="preserve">       </w:t>
      </w:r>
      <w:r w:rsidR="00853E1D">
        <w:rPr>
          <w:szCs w:val="24"/>
        </w:rPr>
        <w:t xml:space="preserve">  </w:t>
      </w:r>
      <w:r w:rsidR="00887014">
        <w:rPr>
          <w:szCs w:val="24"/>
        </w:rPr>
        <w:t xml:space="preserve"> </w:t>
      </w:r>
      <w:r w:rsidR="00853E1D">
        <w:rPr>
          <w:szCs w:val="24"/>
        </w:rPr>
        <w:t xml:space="preserve"> </w:t>
      </w:r>
      <w:r w:rsidR="00853E1D" w:rsidRPr="00853E1D">
        <w:rPr>
          <w:szCs w:val="24"/>
        </w:rPr>
        <w:t>Ustanovení čl. 14 Nařízení (EU) 2021/2115 o sociální podmíněnosti používa</w:t>
      </w:r>
      <w:r w:rsidR="00853E1D">
        <w:rPr>
          <w:szCs w:val="24"/>
        </w:rPr>
        <w:t>jí</w:t>
      </w:r>
      <w:r w:rsidR="00853E1D" w:rsidRPr="00853E1D">
        <w:rPr>
          <w:szCs w:val="24"/>
        </w:rPr>
        <w:t xml:space="preserve"> od roku 2023.</w:t>
      </w:r>
    </w:p>
    <w:p w14:paraId="11B1BD77" w14:textId="29942B23" w:rsidR="002D6B4A" w:rsidRDefault="002D6B4A" w:rsidP="00853E1D">
      <w:pPr>
        <w:spacing w:after="0"/>
        <w:ind w:left="1276"/>
        <w:jc w:val="both"/>
        <w:rPr>
          <w:szCs w:val="24"/>
        </w:rPr>
      </w:pPr>
      <w:r w:rsidRPr="002D6B4A">
        <w:rPr>
          <w:szCs w:val="24"/>
        </w:rPr>
        <w:t xml:space="preserve">Pro implementaci tohoto mechanismu budou použity relevantní informace poskytnuté </w:t>
      </w:r>
      <w:r>
        <w:rPr>
          <w:szCs w:val="24"/>
        </w:rPr>
        <w:t>platební agentuře (</w:t>
      </w:r>
      <w:r w:rsidRPr="002D6B4A">
        <w:rPr>
          <w:szCs w:val="24"/>
        </w:rPr>
        <w:t xml:space="preserve">AGEA </w:t>
      </w:r>
      <w:proofErr w:type="spellStart"/>
      <w:r w:rsidRPr="002D6B4A">
        <w:rPr>
          <w:szCs w:val="24"/>
        </w:rPr>
        <w:t>Coordination</w:t>
      </w:r>
      <w:proofErr w:type="spellEnd"/>
      <w:r>
        <w:rPr>
          <w:szCs w:val="24"/>
        </w:rPr>
        <w:t>)</w:t>
      </w:r>
      <w:r w:rsidRPr="002D6B4A">
        <w:rPr>
          <w:szCs w:val="24"/>
        </w:rPr>
        <w:t xml:space="preserve"> příslušnými vnitrostátními orgány ve vztahu k porušením zjištěným během</w:t>
      </w:r>
      <w:r>
        <w:rPr>
          <w:szCs w:val="24"/>
        </w:rPr>
        <w:t xml:space="preserve"> kontrol.</w:t>
      </w:r>
    </w:p>
    <w:p w14:paraId="4D30D307" w14:textId="291BCA0B" w:rsidR="002D6B4A" w:rsidRPr="002D6B4A" w:rsidRDefault="002D6B4A" w:rsidP="002D6B4A">
      <w:pPr>
        <w:spacing w:after="0"/>
        <w:ind w:left="1276"/>
        <w:jc w:val="both"/>
        <w:rPr>
          <w:szCs w:val="24"/>
        </w:rPr>
      </w:pPr>
      <w:r w:rsidRPr="002D6B4A">
        <w:rPr>
          <w:szCs w:val="24"/>
        </w:rPr>
        <w:t>Zapojené odpovědné vnitrostátní orgány, identifikované v souvislosti s</w:t>
      </w:r>
      <w:r w:rsidR="00780D81">
        <w:rPr>
          <w:szCs w:val="24"/>
        </w:rPr>
        <w:t> </w:t>
      </w:r>
      <w:r w:rsidRPr="002D6B4A">
        <w:rPr>
          <w:szCs w:val="24"/>
        </w:rPr>
        <w:t>prováděním výše uvedených směrnic, jsou tyto: Národní inspektorát práce; Hasiči; Místní zdravotní úřady.</w:t>
      </w:r>
    </w:p>
    <w:p w14:paraId="06B314D8" w14:textId="3ED34764" w:rsidR="002D6B4A" w:rsidRPr="00887014" w:rsidRDefault="002D6B4A" w:rsidP="002D6B4A">
      <w:pPr>
        <w:spacing w:after="0"/>
        <w:ind w:left="1276"/>
        <w:jc w:val="both"/>
        <w:rPr>
          <w:szCs w:val="24"/>
          <w:u w:val="single"/>
        </w:rPr>
      </w:pPr>
      <w:r w:rsidRPr="00887014">
        <w:rPr>
          <w:szCs w:val="24"/>
          <w:u w:val="single"/>
        </w:rPr>
        <w:t>AGEA-</w:t>
      </w:r>
      <w:proofErr w:type="spellStart"/>
      <w:r w:rsidRPr="00887014">
        <w:rPr>
          <w:szCs w:val="24"/>
          <w:u w:val="single"/>
        </w:rPr>
        <w:t>Coordinamento</w:t>
      </w:r>
      <w:proofErr w:type="spellEnd"/>
      <w:r w:rsidRPr="00887014">
        <w:rPr>
          <w:szCs w:val="24"/>
          <w:u w:val="single"/>
        </w:rPr>
        <w:t xml:space="preserve"> uzavře konkrétní dohody s výše uvedenými správami pro zajištění předání získaných informac</w:t>
      </w:r>
      <w:r w:rsidR="00887014" w:rsidRPr="00887014">
        <w:rPr>
          <w:szCs w:val="24"/>
          <w:u w:val="single"/>
        </w:rPr>
        <w:t>í</w:t>
      </w:r>
      <w:r w:rsidRPr="00887014">
        <w:rPr>
          <w:szCs w:val="24"/>
          <w:u w:val="single"/>
        </w:rPr>
        <w:t xml:space="preserve"> příslušným platebním orgánům.</w:t>
      </w:r>
    </w:p>
    <w:p w14:paraId="4913B5C7" w14:textId="3C291BDD" w:rsidR="00BE43C4" w:rsidRPr="00BE43C4" w:rsidRDefault="002D6B4A" w:rsidP="00853E1D">
      <w:pPr>
        <w:spacing w:after="0"/>
        <w:ind w:left="1276"/>
        <w:jc w:val="both"/>
        <w:rPr>
          <w:szCs w:val="24"/>
        </w:rPr>
      </w:pPr>
      <w:r>
        <w:rPr>
          <w:szCs w:val="24"/>
        </w:rPr>
        <w:t>B</w:t>
      </w:r>
      <w:r w:rsidR="00BE43C4" w:rsidRPr="00BE43C4">
        <w:rPr>
          <w:szCs w:val="24"/>
        </w:rPr>
        <w:t>udou použity výsledky kontrol, které vnitrostátní orgány v pracovním právu provádí v rámci své běžné činnosti a kompetencí.</w:t>
      </w:r>
    </w:p>
    <w:p w14:paraId="46710BD1" w14:textId="2A22DD0B" w:rsidR="00BE43C4" w:rsidRDefault="00BE43C4" w:rsidP="00BE43C4">
      <w:pPr>
        <w:spacing w:after="0"/>
        <w:ind w:left="1276"/>
        <w:jc w:val="both"/>
        <w:rPr>
          <w:szCs w:val="24"/>
        </w:rPr>
      </w:pPr>
      <w:r w:rsidRPr="00BE43C4">
        <w:rPr>
          <w:szCs w:val="24"/>
        </w:rPr>
        <w:t>Zmiňují také vnitrostátní plány boje proti prac</w:t>
      </w:r>
      <w:r w:rsidR="00780D81">
        <w:rPr>
          <w:szCs w:val="24"/>
        </w:rPr>
        <w:t>ovnímu</w:t>
      </w:r>
      <w:r w:rsidRPr="00BE43C4">
        <w:rPr>
          <w:szCs w:val="24"/>
        </w:rPr>
        <w:t xml:space="preserve"> vykořisťování.</w:t>
      </w:r>
    </w:p>
    <w:p w14:paraId="5E9366F2" w14:textId="77777777" w:rsidR="00887014" w:rsidRDefault="00887014" w:rsidP="00BE43C4">
      <w:pPr>
        <w:spacing w:after="0"/>
        <w:ind w:left="1276"/>
        <w:jc w:val="both"/>
        <w:rPr>
          <w:szCs w:val="24"/>
        </w:rPr>
      </w:pPr>
    </w:p>
    <w:p w14:paraId="74163FC2" w14:textId="0153A8E8" w:rsidR="00887014" w:rsidRPr="00BE43C4" w:rsidRDefault="00887014" w:rsidP="00887014">
      <w:pPr>
        <w:spacing w:after="120"/>
        <w:ind w:left="1276"/>
        <w:jc w:val="both"/>
        <w:rPr>
          <w:szCs w:val="24"/>
        </w:rPr>
      </w:pPr>
      <w:r w:rsidRPr="00887014">
        <w:rPr>
          <w:szCs w:val="24"/>
        </w:rPr>
        <w:t>Aby bylo zaručeno jasné oddělení odpovědností mezi příslušnými orgány v dané věci</w:t>
      </w:r>
      <w:r>
        <w:rPr>
          <w:szCs w:val="24"/>
        </w:rPr>
        <w:t xml:space="preserve"> </w:t>
      </w:r>
      <w:r w:rsidRPr="00887014">
        <w:rPr>
          <w:szCs w:val="24"/>
        </w:rPr>
        <w:t xml:space="preserve">práce </w:t>
      </w:r>
      <w:r>
        <w:rPr>
          <w:szCs w:val="24"/>
        </w:rPr>
        <w:t>p</w:t>
      </w:r>
      <w:r w:rsidRPr="00887014">
        <w:rPr>
          <w:szCs w:val="24"/>
        </w:rPr>
        <w:t>latebních orgánů, bude dohoda zaměřena výhradně na metody a termíny</w:t>
      </w:r>
      <w:r>
        <w:rPr>
          <w:szCs w:val="24"/>
        </w:rPr>
        <w:t xml:space="preserve"> </w:t>
      </w:r>
      <w:r w:rsidRPr="00887014">
        <w:rPr>
          <w:szCs w:val="24"/>
        </w:rPr>
        <w:t>za předpokladu poskytování počítačových dat týkajících se identifikace subjektů, jakož porušení pravid</w:t>
      </w:r>
      <w:r>
        <w:rPr>
          <w:szCs w:val="24"/>
        </w:rPr>
        <w:t>e</w:t>
      </w:r>
      <w:r w:rsidRPr="00887014">
        <w:rPr>
          <w:szCs w:val="24"/>
        </w:rPr>
        <w:t>l, opakování nebo úmyslné porušení, jakož i</w:t>
      </w:r>
      <w:r>
        <w:rPr>
          <w:szCs w:val="24"/>
        </w:rPr>
        <w:t xml:space="preserve"> lítost </w:t>
      </w:r>
      <w:r w:rsidRPr="00887014">
        <w:rPr>
          <w:szCs w:val="24"/>
        </w:rPr>
        <w:t>zemědělce.</w:t>
      </w:r>
    </w:p>
    <w:p w14:paraId="3B5215AE" w14:textId="77777777" w:rsidR="00887014" w:rsidRDefault="00BE43C4" w:rsidP="00BE43C4">
      <w:pPr>
        <w:spacing w:after="0"/>
        <w:ind w:left="1276"/>
        <w:jc w:val="both"/>
        <w:rPr>
          <w:szCs w:val="24"/>
        </w:rPr>
      </w:pPr>
      <w:r w:rsidRPr="00BE43C4">
        <w:rPr>
          <w:szCs w:val="24"/>
        </w:rPr>
        <w:t xml:space="preserve">Systém sankcí zavedou dle čl. 88 2021/2116. </w:t>
      </w:r>
    </w:p>
    <w:p w14:paraId="141B6AFA" w14:textId="082A6524" w:rsidR="00887014" w:rsidRDefault="00887014" w:rsidP="00887014">
      <w:pPr>
        <w:spacing w:after="0"/>
        <w:ind w:left="1276"/>
        <w:jc w:val="both"/>
        <w:rPr>
          <w:szCs w:val="24"/>
        </w:rPr>
      </w:pPr>
      <w:r>
        <w:rPr>
          <w:szCs w:val="24"/>
        </w:rPr>
        <w:t>B</w:t>
      </w:r>
      <w:r w:rsidRPr="00887014">
        <w:rPr>
          <w:szCs w:val="24"/>
        </w:rPr>
        <w:t>ude vycházet z porušení článků směrnic o práci a bezpečnosti pracovníků.</w:t>
      </w:r>
    </w:p>
    <w:p w14:paraId="3138FD18" w14:textId="1F2877DF" w:rsidR="00887014" w:rsidRDefault="00887014" w:rsidP="00887014">
      <w:pPr>
        <w:spacing w:after="0"/>
        <w:ind w:left="1276"/>
        <w:jc w:val="both"/>
        <w:rPr>
          <w:szCs w:val="24"/>
        </w:rPr>
      </w:pPr>
      <w:r w:rsidRPr="00887014">
        <w:rPr>
          <w:szCs w:val="24"/>
        </w:rPr>
        <w:t>Příslušná procenta snížení plateb budou upravena na základě závažnosti podmínek</w:t>
      </w:r>
      <w:r>
        <w:rPr>
          <w:szCs w:val="24"/>
        </w:rPr>
        <w:t xml:space="preserve"> </w:t>
      </w:r>
      <w:r w:rsidRPr="00887014">
        <w:rPr>
          <w:szCs w:val="24"/>
        </w:rPr>
        <w:t>porušen</w:t>
      </w:r>
      <w:r>
        <w:rPr>
          <w:szCs w:val="24"/>
        </w:rPr>
        <w:t>í</w:t>
      </w:r>
      <w:r w:rsidRPr="00887014">
        <w:rPr>
          <w:szCs w:val="24"/>
        </w:rPr>
        <w:t xml:space="preserve"> pravid</w:t>
      </w:r>
      <w:r>
        <w:rPr>
          <w:szCs w:val="24"/>
        </w:rPr>
        <w:t>el</w:t>
      </w:r>
      <w:r w:rsidRPr="00887014">
        <w:rPr>
          <w:szCs w:val="24"/>
        </w:rPr>
        <w:t xml:space="preserve"> s ohledem na články obsažené v jednotlivých směrnicích; trvání nebo opakování</w:t>
      </w:r>
      <w:r>
        <w:rPr>
          <w:szCs w:val="24"/>
        </w:rPr>
        <w:t xml:space="preserve"> </w:t>
      </w:r>
      <w:r w:rsidRPr="00887014">
        <w:rPr>
          <w:szCs w:val="24"/>
        </w:rPr>
        <w:t>porušení; o úmyslnosti nedodržení; rovněž s přihlédnutím k zásadě souladu</w:t>
      </w:r>
    </w:p>
    <w:p w14:paraId="1B47CB81" w14:textId="1686BFB2" w:rsidR="001A5242" w:rsidRDefault="00BE43C4" w:rsidP="009D53D5">
      <w:pPr>
        <w:spacing w:after="120"/>
        <w:ind w:left="1276"/>
        <w:jc w:val="both"/>
        <w:rPr>
          <w:szCs w:val="24"/>
        </w:rPr>
      </w:pPr>
      <w:r w:rsidRPr="00BE43C4">
        <w:rPr>
          <w:szCs w:val="24"/>
        </w:rPr>
        <w:t>Snížení plateb bude uplatněno, jakmile platební agentury obdrží oznámení o</w:t>
      </w:r>
      <w:r w:rsidR="00780D81">
        <w:rPr>
          <w:szCs w:val="24"/>
        </w:rPr>
        <w:t> </w:t>
      </w:r>
      <w:r w:rsidRPr="00BE43C4">
        <w:rPr>
          <w:szCs w:val="24"/>
        </w:rPr>
        <w:t>definitivním ukončení řízení o porušení.</w:t>
      </w:r>
    </w:p>
    <w:p w14:paraId="284BEB5F" w14:textId="59F8AF19" w:rsidR="00073B82" w:rsidRDefault="00073B82" w:rsidP="00BE43C4">
      <w:pPr>
        <w:spacing w:after="0"/>
        <w:ind w:left="1276"/>
        <w:jc w:val="both"/>
        <w:rPr>
          <w:szCs w:val="24"/>
        </w:rPr>
      </w:pPr>
      <w:r>
        <w:rPr>
          <w:szCs w:val="24"/>
        </w:rPr>
        <w:t xml:space="preserve">SP verze </w:t>
      </w:r>
      <w:r w:rsidR="00887014">
        <w:rPr>
          <w:szCs w:val="24"/>
        </w:rPr>
        <w:t xml:space="preserve">2.1. </w:t>
      </w:r>
      <w:r>
        <w:rPr>
          <w:szCs w:val="24"/>
        </w:rPr>
        <w:t>k 23. 11. 2023 (str. 4447)</w:t>
      </w:r>
    </w:p>
    <w:p w14:paraId="4FADD0A4" w14:textId="101E170D" w:rsidR="00073B82" w:rsidRDefault="00185795" w:rsidP="00BE43C4">
      <w:pPr>
        <w:spacing w:after="0"/>
        <w:ind w:left="1276"/>
        <w:jc w:val="both"/>
        <w:rPr>
          <w:szCs w:val="24"/>
        </w:rPr>
      </w:pPr>
      <w:hyperlink r:id="rId12" w:history="1">
        <w:r w:rsidR="00073B82" w:rsidRPr="00073B82">
          <w:rPr>
            <w:rStyle w:val="Hypertextovodkaz"/>
            <w:szCs w:val="24"/>
          </w:rPr>
          <w:t>Piano_Strategico_della_PAC_23-27_v.2.1.pdf (reterurale.it)</w:t>
        </w:r>
      </w:hyperlink>
    </w:p>
    <w:p w14:paraId="107161AB" w14:textId="77777777" w:rsidR="00BE43C4" w:rsidRPr="00BE43C4" w:rsidRDefault="00BE43C4" w:rsidP="00BE43C4">
      <w:pPr>
        <w:spacing w:after="0"/>
        <w:ind w:left="1276"/>
        <w:jc w:val="both"/>
        <w:rPr>
          <w:szCs w:val="24"/>
        </w:rPr>
      </w:pPr>
    </w:p>
    <w:p w14:paraId="78509576" w14:textId="4A74DB31" w:rsidR="00887014" w:rsidRDefault="001A5242" w:rsidP="00887014">
      <w:pPr>
        <w:spacing w:after="0"/>
        <w:ind w:left="1276" w:hanging="1276"/>
        <w:jc w:val="both"/>
        <w:rPr>
          <w:szCs w:val="24"/>
        </w:rPr>
      </w:pPr>
      <w:r w:rsidRPr="001A5242">
        <w:rPr>
          <w:b/>
          <w:bCs/>
          <w:szCs w:val="24"/>
        </w:rPr>
        <w:t>Francie</w:t>
      </w:r>
      <w:r w:rsidR="00BE43C4">
        <w:rPr>
          <w:b/>
          <w:bCs/>
          <w:szCs w:val="24"/>
        </w:rPr>
        <w:t xml:space="preserve">    </w:t>
      </w:r>
      <w:r w:rsidR="00887014" w:rsidRPr="00887014">
        <w:rPr>
          <w:szCs w:val="24"/>
        </w:rPr>
        <w:t>Systém sledování sociální podmíněnosti vychází ze systému definovaného v</w:t>
      </w:r>
      <w:r w:rsidR="00780D81">
        <w:rPr>
          <w:szCs w:val="24"/>
        </w:rPr>
        <w:t> </w:t>
      </w:r>
      <w:r w:rsidR="00887014" w:rsidRPr="00887014">
        <w:rPr>
          <w:szCs w:val="24"/>
        </w:rPr>
        <w:t xml:space="preserve">pracovním právu. Bude platit od roku 2023. </w:t>
      </w:r>
    </w:p>
    <w:p w14:paraId="58E19E16" w14:textId="77777777" w:rsidR="00D139B3" w:rsidRDefault="00887014" w:rsidP="00D139B3">
      <w:pPr>
        <w:spacing w:after="120"/>
        <w:ind w:left="1276"/>
        <w:jc w:val="both"/>
        <w:rPr>
          <w:szCs w:val="24"/>
        </w:rPr>
      </w:pPr>
      <w:r w:rsidRPr="00887014">
        <w:rPr>
          <w:szCs w:val="24"/>
        </w:rPr>
        <w:t>Orgány odpovědné za kontrolu pracovněprávní legislativy oznamují, každý rok platební agentuře vykonatelná rozhodnutí přijatá přímo proti  příjemc</w:t>
      </w:r>
      <w:r>
        <w:rPr>
          <w:szCs w:val="24"/>
        </w:rPr>
        <w:t>i</w:t>
      </w:r>
      <w:r w:rsidRPr="00887014">
        <w:rPr>
          <w:szCs w:val="24"/>
        </w:rPr>
        <w:t xml:space="preserve"> a které se přísně týkají jeho zemědělsk</w:t>
      </w:r>
      <w:r w:rsidR="00D139B3">
        <w:rPr>
          <w:szCs w:val="24"/>
        </w:rPr>
        <w:t>é</w:t>
      </w:r>
      <w:r w:rsidRPr="00887014">
        <w:rPr>
          <w:szCs w:val="24"/>
        </w:rPr>
        <w:t xml:space="preserve"> činnost</w:t>
      </w:r>
      <w:r w:rsidR="00D139B3">
        <w:rPr>
          <w:szCs w:val="24"/>
        </w:rPr>
        <w:t xml:space="preserve">i </w:t>
      </w:r>
      <w:r w:rsidRPr="00887014">
        <w:rPr>
          <w:szCs w:val="24"/>
        </w:rPr>
        <w:t>nebo oblastí spravovaných příjemcem. Toto oznámení je doprovázeno posouzením a hodnocením závažnosti, rozsahu, trvalost</w:t>
      </w:r>
      <w:r w:rsidR="00D139B3">
        <w:rPr>
          <w:szCs w:val="24"/>
        </w:rPr>
        <w:t>i</w:t>
      </w:r>
      <w:r w:rsidRPr="00887014">
        <w:rPr>
          <w:szCs w:val="24"/>
        </w:rPr>
        <w:t xml:space="preserve"> nebo </w:t>
      </w:r>
      <w:r w:rsidR="00D139B3">
        <w:rPr>
          <w:szCs w:val="24"/>
        </w:rPr>
        <w:t>opakováním</w:t>
      </w:r>
      <w:r w:rsidRPr="00887014">
        <w:rPr>
          <w:szCs w:val="24"/>
        </w:rPr>
        <w:t xml:space="preserve"> a úmysln</w:t>
      </w:r>
      <w:r w:rsidR="00D139B3">
        <w:rPr>
          <w:szCs w:val="24"/>
        </w:rPr>
        <w:t>ým</w:t>
      </w:r>
      <w:r w:rsidRPr="00887014">
        <w:rPr>
          <w:szCs w:val="24"/>
        </w:rPr>
        <w:t xml:space="preserve"> nedodržení</w:t>
      </w:r>
      <w:r w:rsidR="00D139B3">
        <w:rPr>
          <w:szCs w:val="24"/>
        </w:rPr>
        <w:t>m</w:t>
      </w:r>
      <w:r w:rsidRPr="00887014">
        <w:rPr>
          <w:szCs w:val="24"/>
        </w:rPr>
        <w:t xml:space="preserve">. </w:t>
      </w:r>
    </w:p>
    <w:p w14:paraId="785010DD" w14:textId="7EDBB03A" w:rsidR="00BE43C4" w:rsidRPr="00887014" w:rsidRDefault="00887014" w:rsidP="009D53D5">
      <w:pPr>
        <w:spacing w:after="120"/>
        <w:ind w:left="1276"/>
        <w:jc w:val="both"/>
        <w:rPr>
          <w:szCs w:val="24"/>
        </w:rPr>
      </w:pPr>
      <w:r w:rsidRPr="00887014">
        <w:rPr>
          <w:szCs w:val="24"/>
        </w:rPr>
        <w:lastRenderedPageBreak/>
        <w:t>Sankční režim je uplatňován v souladu s evropskými předpisy. Ministerská vyhláška stanoví každý rok míru snížení, která se použije na podporu podléhající sociální podmíněnost v případě nedodržení požadavků stanovených evropským právem uvedených v Příloha IV nařízení o strategickém plánu. Sankce v hodnotě nižší než 100 EUR se neuplatňují. Je-li to relevantní, je to zemědělec je však informován o nedodržení a musí provést nápravná opatření.</w:t>
      </w:r>
    </w:p>
    <w:p w14:paraId="654BAE96" w14:textId="70A4B0BD" w:rsidR="00073B82" w:rsidRDefault="00073B82" w:rsidP="00BE43C4">
      <w:pPr>
        <w:spacing w:after="0"/>
        <w:ind w:left="1276"/>
        <w:jc w:val="both"/>
        <w:rPr>
          <w:szCs w:val="24"/>
        </w:rPr>
      </w:pPr>
      <w:r>
        <w:rPr>
          <w:szCs w:val="24"/>
        </w:rPr>
        <w:t>SP verze k 13. 12. 2023 (str. 1018)</w:t>
      </w:r>
    </w:p>
    <w:p w14:paraId="0E43F934" w14:textId="651B8BE6" w:rsidR="00073B82" w:rsidRPr="00BE43C4" w:rsidRDefault="00185795" w:rsidP="00BE43C4">
      <w:pPr>
        <w:spacing w:after="0"/>
        <w:ind w:left="1276"/>
        <w:jc w:val="both"/>
        <w:rPr>
          <w:szCs w:val="24"/>
        </w:rPr>
      </w:pPr>
      <w:hyperlink r:id="rId13" w:history="1">
        <w:r w:rsidR="00073B82" w:rsidRPr="00073B82">
          <w:rPr>
            <w:rStyle w:val="Hypertextovodkaz"/>
            <w:szCs w:val="24"/>
          </w:rPr>
          <w:t>PSN_v3.2.pdf</w:t>
        </w:r>
      </w:hyperlink>
    </w:p>
    <w:p w14:paraId="4D2ACD80" w14:textId="77777777" w:rsidR="001A5242" w:rsidRDefault="001A5242">
      <w:pPr>
        <w:rPr>
          <w:b/>
          <w:bCs/>
          <w:szCs w:val="24"/>
        </w:rPr>
      </w:pPr>
    </w:p>
    <w:p w14:paraId="3F5288B3" w14:textId="0A593632" w:rsidR="009D53D5" w:rsidRDefault="009D53D5" w:rsidP="009D53D5">
      <w:pPr>
        <w:ind w:left="1276" w:hanging="1276"/>
        <w:jc w:val="both"/>
        <w:rPr>
          <w:szCs w:val="24"/>
        </w:rPr>
      </w:pPr>
      <w:r>
        <w:rPr>
          <w:b/>
          <w:bCs/>
          <w:szCs w:val="24"/>
        </w:rPr>
        <w:t xml:space="preserve">Lucembursko </w:t>
      </w:r>
      <w:r w:rsidRPr="009D53D5">
        <w:rPr>
          <w:szCs w:val="24"/>
        </w:rPr>
        <w:t xml:space="preserve">Požadavky se týkají následujících oblastí: - Práce: </w:t>
      </w:r>
      <w:r w:rsidRPr="009D53D5">
        <w:rPr>
          <w:szCs w:val="24"/>
        </w:rPr>
        <w:sym w:font="Symbol" w:char="F0B7"/>
      </w:r>
      <w:r w:rsidRPr="009D53D5">
        <w:rPr>
          <w:szCs w:val="24"/>
        </w:rPr>
        <w:t xml:space="preserve"> Pracovní smlouva </w:t>
      </w:r>
      <w:r w:rsidRPr="009D53D5">
        <w:rPr>
          <w:szCs w:val="24"/>
        </w:rPr>
        <w:sym w:font="Symbol" w:char="F0B7"/>
      </w:r>
      <w:r w:rsidR="00780D81">
        <w:rPr>
          <w:szCs w:val="24"/>
        </w:rPr>
        <w:t> </w:t>
      </w:r>
      <w:r w:rsidRPr="009D53D5">
        <w:rPr>
          <w:szCs w:val="24"/>
        </w:rPr>
        <w:t xml:space="preserve">Zkušební doba </w:t>
      </w:r>
      <w:r w:rsidRPr="009D53D5">
        <w:rPr>
          <w:szCs w:val="24"/>
        </w:rPr>
        <w:sym w:font="Symbol" w:char="F0B7"/>
      </w:r>
      <w:r w:rsidRPr="009D53D5">
        <w:rPr>
          <w:szCs w:val="24"/>
        </w:rPr>
        <w:t xml:space="preserve"> Pracovní doby </w:t>
      </w:r>
      <w:r w:rsidRPr="009D53D5">
        <w:rPr>
          <w:szCs w:val="24"/>
        </w:rPr>
        <w:sym w:font="Symbol" w:char="F0B7"/>
      </w:r>
      <w:r w:rsidRPr="009D53D5">
        <w:rPr>
          <w:szCs w:val="24"/>
        </w:rPr>
        <w:t xml:space="preserve"> Období dovolených </w:t>
      </w:r>
      <w:r w:rsidRPr="009D53D5">
        <w:rPr>
          <w:szCs w:val="24"/>
        </w:rPr>
        <w:sym w:font="Symbol" w:char="F0B7"/>
      </w:r>
      <w:r w:rsidRPr="009D53D5">
        <w:rPr>
          <w:szCs w:val="24"/>
        </w:rPr>
        <w:t xml:space="preserve"> Plat </w:t>
      </w:r>
      <w:r w:rsidRPr="009D53D5">
        <w:rPr>
          <w:szCs w:val="24"/>
        </w:rPr>
        <w:sym w:font="Symbol" w:char="F0B7"/>
      </w:r>
      <w:r w:rsidRPr="009D53D5">
        <w:rPr>
          <w:szCs w:val="24"/>
        </w:rPr>
        <w:t xml:space="preserve"> Předvídatelnost práce </w:t>
      </w:r>
      <w:r w:rsidRPr="009D53D5">
        <w:rPr>
          <w:szCs w:val="24"/>
        </w:rPr>
        <w:sym w:font="Symbol" w:char="F0B7"/>
      </w:r>
      <w:r w:rsidRPr="009D53D5">
        <w:rPr>
          <w:szCs w:val="24"/>
        </w:rPr>
        <w:t xml:space="preserve"> Průběžné vzdělávání je součástí pracovní doby. - Zdraví a bezpečnost: </w:t>
      </w:r>
      <w:r w:rsidRPr="009D53D5">
        <w:rPr>
          <w:szCs w:val="24"/>
        </w:rPr>
        <w:sym w:font="Symbol" w:char="F0B7"/>
      </w:r>
      <w:r w:rsidR="00780D81">
        <w:rPr>
          <w:szCs w:val="24"/>
        </w:rPr>
        <w:t> </w:t>
      </w:r>
      <w:r w:rsidRPr="009D53D5">
        <w:rPr>
          <w:szCs w:val="24"/>
        </w:rPr>
        <w:t xml:space="preserve">Vhodné pokyny/informace </w:t>
      </w:r>
      <w:r w:rsidRPr="009D53D5">
        <w:rPr>
          <w:szCs w:val="24"/>
        </w:rPr>
        <w:sym w:font="Symbol" w:char="F0B7"/>
      </w:r>
      <w:r w:rsidRPr="009D53D5">
        <w:rPr>
          <w:szCs w:val="24"/>
        </w:rPr>
        <w:t xml:space="preserve"> Prevence rizik </w:t>
      </w:r>
      <w:r w:rsidRPr="009D53D5">
        <w:rPr>
          <w:szCs w:val="24"/>
        </w:rPr>
        <w:sym w:font="Symbol" w:char="F0B7"/>
      </w:r>
      <w:r w:rsidRPr="009D53D5">
        <w:rPr>
          <w:szCs w:val="24"/>
        </w:rPr>
        <w:t xml:space="preserve"> Vhodné pracovní pomůcky / ochranné pomůcky </w:t>
      </w:r>
      <w:r w:rsidRPr="009D53D5">
        <w:rPr>
          <w:szCs w:val="24"/>
        </w:rPr>
        <w:sym w:font="Symbol" w:char="F0B7"/>
      </w:r>
      <w:r w:rsidRPr="009D53D5">
        <w:rPr>
          <w:szCs w:val="24"/>
        </w:rPr>
        <w:t xml:space="preserve"> Kontrola pracovního vybavení </w:t>
      </w:r>
      <w:r w:rsidRPr="009D53D5">
        <w:rPr>
          <w:szCs w:val="24"/>
        </w:rPr>
        <w:sym w:font="Symbol" w:char="F0B7"/>
      </w:r>
      <w:r w:rsidRPr="009D53D5">
        <w:rPr>
          <w:szCs w:val="24"/>
        </w:rPr>
        <w:t xml:space="preserve"> Průběžné školení </w:t>
      </w:r>
      <w:r w:rsidR="00780D81" w:rsidRPr="009D53D5">
        <w:rPr>
          <w:szCs w:val="24"/>
        </w:rPr>
        <w:t>v</w:t>
      </w:r>
      <w:r w:rsidR="00780D81">
        <w:rPr>
          <w:szCs w:val="24"/>
        </w:rPr>
        <w:t> </w:t>
      </w:r>
      <w:r w:rsidRPr="009D53D5">
        <w:rPr>
          <w:szCs w:val="24"/>
        </w:rPr>
        <w:t xml:space="preserve">případě změny (nová rizika, nové chování) </w:t>
      </w:r>
      <w:r w:rsidRPr="009D53D5">
        <w:rPr>
          <w:szCs w:val="24"/>
        </w:rPr>
        <w:sym w:font="Symbol" w:char="F0B7"/>
      </w:r>
      <w:r w:rsidRPr="009D53D5">
        <w:rPr>
          <w:szCs w:val="24"/>
        </w:rPr>
        <w:t xml:space="preserve"> První pomoc </w:t>
      </w:r>
      <w:r w:rsidRPr="009D53D5">
        <w:rPr>
          <w:szCs w:val="24"/>
        </w:rPr>
        <w:sym w:font="Symbol" w:char="F0B7"/>
      </w:r>
      <w:r w:rsidRPr="009D53D5">
        <w:rPr>
          <w:szCs w:val="24"/>
        </w:rPr>
        <w:t xml:space="preserve"> Hlášení pracovních úrazů na Inspektorát práce a dolů (ITM). </w:t>
      </w:r>
    </w:p>
    <w:p w14:paraId="610453B1" w14:textId="6DCCD895" w:rsidR="00D139B3" w:rsidRDefault="009D53D5" w:rsidP="009D53D5">
      <w:pPr>
        <w:ind w:left="1276"/>
        <w:jc w:val="both"/>
        <w:rPr>
          <w:szCs w:val="24"/>
        </w:rPr>
      </w:pPr>
      <w:r w:rsidRPr="009D53D5">
        <w:rPr>
          <w:szCs w:val="24"/>
        </w:rPr>
        <w:t xml:space="preserve">V rámci sociální podmíněnosti není prováděna žádná systematická kontrola kontrolní službou Ministerstva zemědělství (UNICO). Služba venkovského hospodářství </w:t>
      </w:r>
      <w:r>
        <w:rPr>
          <w:szCs w:val="24"/>
        </w:rPr>
        <w:t xml:space="preserve">informuje </w:t>
      </w:r>
      <w:r w:rsidRPr="009D53D5">
        <w:rPr>
          <w:szCs w:val="24"/>
        </w:rPr>
        <w:t xml:space="preserve">ITM, když </w:t>
      </w:r>
      <w:r>
        <w:rPr>
          <w:szCs w:val="24"/>
        </w:rPr>
        <w:t xml:space="preserve">zjistí </w:t>
      </w:r>
      <w:r w:rsidRPr="009D53D5">
        <w:rPr>
          <w:szCs w:val="24"/>
        </w:rPr>
        <w:t>porušení v rámci svých kontrol stanovených zákonem</w:t>
      </w:r>
      <w:r>
        <w:rPr>
          <w:szCs w:val="24"/>
        </w:rPr>
        <w:t>.</w:t>
      </w:r>
    </w:p>
    <w:p w14:paraId="4D2DBC37" w14:textId="631A289C" w:rsidR="009D53D5" w:rsidRPr="009D53D5" w:rsidRDefault="009D53D5" w:rsidP="009D53D5">
      <w:pPr>
        <w:ind w:left="1276"/>
        <w:jc w:val="both"/>
        <w:rPr>
          <w:szCs w:val="24"/>
        </w:rPr>
      </w:pPr>
      <w:r w:rsidRPr="009D53D5">
        <w:rPr>
          <w:szCs w:val="24"/>
        </w:rPr>
        <w:t>Výroční zpráva za rok 2023</w:t>
      </w:r>
      <w:r w:rsidR="00780D81">
        <w:rPr>
          <w:szCs w:val="24"/>
        </w:rPr>
        <w:t>.</w:t>
      </w:r>
    </w:p>
    <w:p w14:paraId="10F80409" w14:textId="77777777" w:rsidR="009D53D5" w:rsidRDefault="009D53D5">
      <w:pPr>
        <w:rPr>
          <w:b/>
          <w:bCs/>
          <w:szCs w:val="24"/>
        </w:rPr>
      </w:pPr>
    </w:p>
    <w:p w14:paraId="52F286B5" w14:textId="68794BED" w:rsidR="003B5537" w:rsidRPr="00D139B3" w:rsidRDefault="003B5537" w:rsidP="00B45D88">
      <w:pPr>
        <w:pStyle w:val="Nadpis1"/>
        <w:numPr>
          <w:ilvl w:val="0"/>
          <w:numId w:val="19"/>
        </w:numPr>
        <w:ind w:left="284" w:hanging="284"/>
      </w:pPr>
      <w:bookmarkStart w:id="13" w:name="_Toc162512846"/>
      <w:r w:rsidRPr="00D139B3">
        <w:t>Výňatky z informace MPSV pro stanovené 3 směrnice</w:t>
      </w:r>
      <w:bookmarkEnd w:id="13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59"/>
        <w:gridCol w:w="5987"/>
      </w:tblGrid>
      <w:tr w:rsidR="004537A3" w:rsidRPr="004537A3" w14:paraId="6814826E" w14:textId="77777777" w:rsidTr="004537A3">
        <w:tc>
          <w:tcPr>
            <w:tcW w:w="1797" w:type="pct"/>
          </w:tcPr>
          <w:p w14:paraId="507B9E53" w14:textId="6065D304" w:rsidR="004537A3" w:rsidRPr="004537A3" w:rsidRDefault="004537A3" w:rsidP="004537A3">
            <w:pPr>
              <w:spacing w:after="200" w:line="276" w:lineRule="auto"/>
              <w:jc w:val="both"/>
              <w:rPr>
                <w:rFonts w:cstheme="minorHAnsi"/>
                <w:b/>
                <w:sz w:val="22"/>
              </w:rPr>
            </w:pPr>
            <w:r w:rsidRPr="004537A3">
              <w:rPr>
                <w:rFonts w:cstheme="minorHAnsi"/>
                <w:sz w:val="22"/>
              </w:rPr>
              <w:t>Kategorie</w:t>
            </w:r>
          </w:p>
        </w:tc>
        <w:tc>
          <w:tcPr>
            <w:tcW w:w="3203" w:type="pct"/>
          </w:tcPr>
          <w:p w14:paraId="0C74635C" w14:textId="3A2DA53E" w:rsidR="004537A3" w:rsidRPr="004537A3" w:rsidRDefault="004537A3" w:rsidP="004537A3">
            <w:pPr>
              <w:jc w:val="both"/>
              <w:rPr>
                <w:rFonts w:eastAsia="Calibri" w:cstheme="minorHAnsi"/>
                <w:b/>
                <w:bCs/>
                <w:sz w:val="22"/>
                <w:u w:val="single"/>
              </w:rPr>
            </w:pPr>
            <w:r w:rsidRPr="004537A3">
              <w:rPr>
                <w:rFonts w:cstheme="minorHAnsi"/>
                <w:sz w:val="22"/>
              </w:rPr>
              <w:t xml:space="preserve">Název </w:t>
            </w:r>
          </w:p>
        </w:tc>
      </w:tr>
      <w:tr w:rsidR="004537A3" w:rsidRPr="004537A3" w14:paraId="7A21817C" w14:textId="77777777" w:rsidTr="004537A3">
        <w:tc>
          <w:tcPr>
            <w:tcW w:w="1797" w:type="pct"/>
          </w:tcPr>
          <w:p w14:paraId="294A694B" w14:textId="2BED91F5" w:rsidR="004537A3" w:rsidRPr="004537A3" w:rsidRDefault="004537A3" w:rsidP="004537A3">
            <w:pPr>
              <w:spacing w:after="200" w:line="276" w:lineRule="auto"/>
              <w:rPr>
                <w:rFonts w:cstheme="minorHAnsi"/>
                <w:b/>
                <w:sz w:val="22"/>
              </w:rPr>
            </w:pPr>
            <w:r w:rsidRPr="004537A3">
              <w:rPr>
                <w:rFonts w:cstheme="minorHAnsi"/>
                <w:b/>
                <w:sz w:val="22"/>
              </w:rPr>
              <w:t xml:space="preserve">Transparentní a předvídatelné pracovní podmínky </w:t>
            </w:r>
          </w:p>
        </w:tc>
        <w:tc>
          <w:tcPr>
            <w:tcW w:w="3203" w:type="pct"/>
          </w:tcPr>
          <w:p w14:paraId="666A8CED" w14:textId="77777777" w:rsidR="004537A3" w:rsidRPr="004537A3" w:rsidRDefault="004537A3" w:rsidP="004537A3">
            <w:pPr>
              <w:jc w:val="both"/>
              <w:rPr>
                <w:rFonts w:eastAsia="Calibri" w:cstheme="minorHAnsi"/>
                <w:b/>
                <w:bCs/>
                <w:sz w:val="22"/>
                <w:u w:val="single"/>
              </w:rPr>
            </w:pP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Directive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(EU) 2019/1152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of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the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European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Parliament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and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of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the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Council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of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20 June 2019 on transparent and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predictable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working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conditions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in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the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European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Union</w:t>
            </w:r>
          </w:p>
          <w:p w14:paraId="20AD4A33" w14:textId="77777777" w:rsidR="004537A3" w:rsidRPr="004537A3" w:rsidRDefault="004537A3" w:rsidP="004537A3">
            <w:pPr>
              <w:jc w:val="both"/>
              <w:rPr>
                <w:rFonts w:cstheme="minorHAnsi"/>
                <w:sz w:val="22"/>
              </w:rPr>
            </w:pPr>
            <w:r w:rsidRPr="004537A3">
              <w:rPr>
                <w:rFonts w:cstheme="minorHAnsi"/>
                <w:sz w:val="22"/>
              </w:rPr>
              <w:t>Směrnice Evropského parlamentu a Rady (EU) 2019/1152 ze dne 20. června 2019 o transparentních a předvídatelných pracovních podmínkách v Evropské unii</w:t>
            </w:r>
          </w:p>
          <w:p w14:paraId="330441CC" w14:textId="77777777" w:rsidR="004537A3" w:rsidRPr="004537A3" w:rsidRDefault="004537A3" w:rsidP="004537A3">
            <w:pPr>
              <w:jc w:val="both"/>
              <w:rPr>
                <w:rFonts w:eastAsia="Calibri" w:cstheme="minorHAnsi"/>
                <w:sz w:val="22"/>
              </w:rPr>
            </w:pPr>
          </w:p>
          <w:p w14:paraId="05EA7424" w14:textId="50F69663" w:rsidR="00F85223" w:rsidRDefault="00F85223" w:rsidP="004537A3">
            <w:pPr>
              <w:jc w:val="both"/>
              <w:rPr>
                <w:rFonts w:eastAsia="Calibri" w:cstheme="minorHAnsi"/>
                <w:i/>
                <w:iCs/>
                <w:sz w:val="22"/>
              </w:rPr>
            </w:pPr>
            <w:r w:rsidRPr="00F85223">
              <w:rPr>
                <w:rFonts w:eastAsia="Calibri" w:cstheme="minorHAnsi"/>
                <w:i/>
                <w:iCs/>
                <w:sz w:val="22"/>
              </w:rPr>
              <w:t>Pozn.: V</w:t>
            </w:r>
            <w:r>
              <w:rPr>
                <w:rFonts w:eastAsia="Calibri" w:cstheme="minorHAnsi"/>
                <w:i/>
                <w:iCs/>
                <w:sz w:val="22"/>
              </w:rPr>
              <w:t> </w:t>
            </w:r>
            <w:r w:rsidRPr="00F85223">
              <w:rPr>
                <w:rFonts w:eastAsia="Calibri" w:cstheme="minorHAnsi"/>
                <w:i/>
                <w:iCs/>
                <w:sz w:val="22"/>
              </w:rPr>
              <w:t>ISAP</w:t>
            </w:r>
            <w:r>
              <w:rPr>
                <w:rFonts w:eastAsia="Calibri" w:cstheme="minorHAnsi"/>
                <w:i/>
                <w:iCs/>
                <w:sz w:val="22"/>
              </w:rPr>
              <w:t xml:space="preserve"> je dostupná</w:t>
            </w:r>
            <w:r w:rsidRPr="00F85223">
              <w:rPr>
                <w:rFonts w:eastAsia="Calibri" w:cstheme="minorHAnsi"/>
                <w:i/>
                <w:iCs/>
                <w:sz w:val="22"/>
              </w:rPr>
              <w:t xml:space="preserve"> transpoziční tabulka </w:t>
            </w:r>
            <w:r>
              <w:rPr>
                <w:rFonts w:eastAsia="Calibri" w:cstheme="minorHAnsi"/>
                <w:i/>
                <w:iCs/>
                <w:sz w:val="22"/>
              </w:rPr>
              <w:t>s údaji ke dni</w:t>
            </w:r>
            <w:r w:rsidRPr="00F85223">
              <w:rPr>
                <w:rFonts w:eastAsia="Calibri" w:cstheme="minorHAnsi"/>
                <w:i/>
                <w:iCs/>
                <w:sz w:val="22"/>
              </w:rPr>
              <w:t xml:space="preserve"> 22.9.2023.</w:t>
            </w:r>
          </w:p>
          <w:p w14:paraId="6A6D72C0" w14:textId="77777777" w:rsidR="00F85223" w:rsidRDefault="00F85223" w:rsidP="004537A3">
            <w:pPr>
              <w:jc w:val="both"/>
              <w:rPr>
                <w:rFonts w:eastAsia="Calibri" w:cstheme="minorHAnsi"/>
                <w:i/>
                <w:iCs/>
                <w:sz w:val="22"/>
              </w:rPr>
            </w:pPr>
          </w:p>
          <w:p w14:paraId="76AA3969" w14:textId="1B80D2B7" w:rsidR="00F85223" w:rsidRPr="00F85223" w:rsidRDefault="00F85223" w:rsidP="00F85223">
            <w:pPr>
              <w:jc w:val="both"/>
              <w:rPr>
                <w:rFonts w:eastAsia="Calibri" w:cstheme="minorHAnsi"/>
                <w:sz w:val="22"/>
              </w:rPr>
            </w:pPr>
            <w:r w:rsidRPr="00F85223">
              <w:rPr>
                <w:rFonts w:eastAsia="Calibri" w:cstheme="minorHAnsi"/>
                <w:sz w:val="22"/>
              </w:rPr>
              <w:t>Kontrolní činnost zaměřená na oblast pracovních vztahů a</w:t>
            </w:r>
            <w:r w:rsidR="00064E44">
              <w:rPr>
                <w:rFonts w:eastAsia="Calibri" w:cstheme="minorHAnsi"/>
                <w:sz w:val="22"/>
              </w:rPr>
              <w:t> </w:t>
            </w:r>
            <w:r w:rsidRPr="00F85223">
              <w:rPr>
                <w:rFonts w:eastAsia="Calibri" w:cstheme="minorHAnsi"/>
                <w:sz w:val="22"/>
              </w:rPr>
              <w:t>podmínek je jednou z hlavních kontrolních priorit. Každoročně jsou v této oblasti provedeny tisíce kontrol, např. v roce 2020 bylo provedeno, celkem 3 414 kontrol a bylo zjištěno 5319 porušení z oblasti pracovněprávních vztahů.</w:t>
            </w:r>
          </w:p>
          <w:p w14:paraId="7B696F8C" w14:textId="77777777" w:rsidR="00F85223" w:rsidRPr="00F85223" w:rsidRDefault="00F85223" w:rsidP="00F85223">
            <w:pPr>
              <w:jc w:val="both"/>
              <w:rPr>
                <w:rFonts w:eastAsia="Calibri" w:cstheme="minorHAnsi"/>
                <w:sz w:val="22"/>
              </w:rPr>
            </w:pPr>
            <w:r w:rsidRPr="00F85223">
              <w:rPr>
                <w:rFonts w:eastAsia="Calibri" w:cstheme="minorHAnsi"/>
                <w:sz w:val="22"/>
              </w:rPr>
              <w:t xml:space="preserve">Nejčastěji byla kontrolami v oblasti pracovněprávních vztahů (PPV) zjišťována porušení právních předpisů v oblasti odměňování zaměstnanců (2 255 porušení), pracovního </w:t>
            </w:r>
            <w:r w:rsidRPr="00F85223">
              <w:rPr>
                <w:rFonts w:eastAsia="Calibri" w:cstheme="minorHAnsi"/>
                <w:sz w:val="22"/>
              </w:rPr>
              <w:lastRenderedPageBreak/>
              <w:t xml:space="preserve">poměru a dohod konaných mimo pracovní poměr (1 399 porušení), pracovní doby (748 porušení), náhrad (554 porušení). </w:t>
            </w:r>
          </w:p>
          <w:p w14:paraId="0C1D3353" w14:textId="382072F3" w:rsidR="00F85223" w:rsidRPr="00F85223" w:rsidRDefault="00F85223" w:rsidP="00F85223">
            <w:pPr>
              <w:jc w:val="both"/>
              <w:rPr>
                <w:rFonts w:eastAsia="Calibri" w:cstheme="minorHAnsi"/>
                <w:sz w:val="22"/>
              </w:rPr>
            </w:pPr>
            <w:r w:rsidRPr="00F85223">
              <w:rPr>
                <w:rFonts w:eastAsia="Calibri" w:cstheme="minorHAnsi"/>
                <w:sz w:val="22"/>
              </w:rPr>
              <w:t>Za prokázaná porušení právních předpisů v oblasti pracovních vztahů a podmínek bylo uloženo 864 pokut v</w:t>
            </w:r>
            <w:r w:rsidR="00064E44">
              <w:rPr>
                <w:rFonts w:eastAsia="Calibri" w:cstheme="minorHAnsi"/>
                <w:sz w:val="22"/>
              </w:rPr>
              <w:t> </w:t>
            </w:r>
            <w:r w:rsidRPr="00F85223">
              <w:rPr>
                <w:rFonts w:eastAsia="Calibri" w:cstheme="minorHAnsi"/>
                <w:sz w:val="22"/>
              </w:rPr>
              <w:t>souhrnné výši 26 762 200 Kč.</w:t>
            </w:r>
          </w:p>
          <w:p w14:paraId="36CD3971" w14:textId="4FE69E28" w:rsidR="004537A3" w:rsidRPr="004537A3" w:rsidRDefault="00F85223" w:rsidP="00064E44">
            <w:pPr>
              <w:jc w:val="both"/>
              <w:rPr>
                <w:rFonts w:eastAsia="Calibri" w:cstheme="minorHAnsi"/>
                <w:b/>
                <w:bCs/>
                <w:sz w:val="22"/>
                <w:u w:val="single"/>
              </w:rPr>
            </w:pPr>
            <w:r w:rsidRPr="00F85223">
              <w:rPr>
                <w:rFonts w:eastAsia="Calibri" w:cstheme="minorHAnsi"/>
                <w:sz w:val="22"/>
              </w:rPr>
              <w:t>Do oblasti pracovních vztahů a podmínek bylo v roce 2020 podáno 3 629 podnětů, z nichž nejčetnější byly podněty na nedodržování povinností zaměstnavatele v oblasti odměňování. Podněty byly impulsem k provedení 2 188 kontrol v oblasti PPV.</w:t>
            </w:r>
          </w:p>
        </w:tc>
      </w:tr>
      <w:tr w:rsidR="004537A3" w:rsidRPr="004537A3" w14:paraId="27491219" w14:textId="77777777" w:rsidTr="004537A3">
        <w:tc>
          <w:tcPr>
            <w:tcW w:w="1797" w:type="pct"/>
          </w:tcPr>
          <w:p w14:paraId="22BBE9B1" w14:textId="5A7B4535" w:rsidR="004537A3" w:rsidRPr="004537A3" w:rsidRDefault="004537A3" w:rsidP="004537A3">
            <w:pPr>
              <w:spacing w:after="200" w:line="276" w:lineRule="auto"/>
              <w:rPr>
                <w:rFonts w:cstheme="minorHAnsi"/>
                <w:b/>
                <w:sz w:val="22"/>
              </w:rPr>
            </w:pPr>
            <w:r w:rsidRPr="004537A3">
              <w:rPr>
                <w:rFonts w:cstheme="minorHAnsi"/>
                <w:b/>
                <w:sz w:val="22"/>
              </w:rPr>
              <w:lastRenderedPageBreak/>
              <w:t xml:space="preserve">Rámcová směrnice o BOZP </w:t>
            </w:r>
          </w:p>
        </w:tc>
        <w:tc>
          <w:tcPr>
            <w:tcW w:w="3203" w:type="pct"/>
          </w:tcPr>
          <w:p w14:paraId="461AE78F" w14:textId="77777777" w:rsidR="004537A3" w:rsidRPr="004537A3" w:rsidRDefault="004537A3" w:rsidP="004537A3">
            <w:pPr>
              <w:jc w:val="both"/>
              <w:rPr>
                <w:rFonts w:eastAsia="Calibri" w:cstheme="minorHAnsi"/>
                <w:b/>
                <w:bCs/>
                <w:sz w:val="22"/>
                <w:u w:val="single"/>
              </w:rPr>
            </w:pP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Council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Directive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89/391/EEC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of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12 June 1989 on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the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introduction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of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measures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to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encourage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improvements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in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the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safety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and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health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of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workers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at</w:t>
            </w:r>
            <w:proofErr w:type="spellEnd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 xml:space="preserve"> </w:t>
            </w:r>
            <w:proofErr w:type="spellStart"/>
            <w:r w:rsidRPr="004537A3">
              <w:rPr>
                <w:rFonts w:eastAsia="Calibri" w:cstheme="minorHAnsi"/>
                <w:b/>
                <w:bCs/>
                <w:sz w:val="22"/>
                <w:u w:val="single"/>
              </w:rPr>
              <w:t>work</w:t>
            </w:r>
            <w:proofErr w:type="spellEnd"/>
          </w:p>
          <w:p w14:paraId="1132229B" w14:textId="5D4E421D" w:rsidR="004537A3" w:rsidRPr="004B49F0" w:rsidRDefault="004537A3" w:rsidP="004537A3">
            <w:pPr>
              <w:jc w:val="both"/>
              <w:rPr>
                <w:rFonts w:eastAsia="Calibri" w:cstheme="minorHAnsi"/>
                <w:sz w:val="22"/>
              </w:rPr>
            </w:pPr>
            <w:r w:rsidRPr="004537A3">
              <w:rPr>
                <w:rFonts w:cstheme="minorHAnsi"/>
                <w:sz w:val="22"/>
              </w:rPr>
              <w:t xml:space="preserve">Směrnice Rady 89/391/EHS ze dne 12. června 1989 </w:t>
            </w:r>
            <w:r w:rsidR="00064E44" w:rsidRPr="004537A3">
              <w:rPr>
                <w:rFonts w:cstheme="minorHAnsi"/>
                <w:sz w:val="22"/>
              </w:rPr>
              <w:t>o</w:t>
            </w:r>
            <w:r w:rsidR="00064E44">
              <w:rPr>
                <w:rFonts w:cstheme="minorHAnsi"/>
                <w:sz w:val="22"/>
              </w:rPr>
              <w:t> </w:t>
            </w:r>
            <w:r w:rsidRPr="004537A3">
              <w:rPr>
                <w:rFonts w:cstheme="minorHAnsi"/>
                <w:sz w:val="22"/>
              </w:rPr>
              <w:t xml:space="preserve">zavádění </w:t>
            </w:r>
            <w:r w:rsidRPr="004B49F0">
              <w:rPr>
                <w:rFonts w:eastAsia="Calibri" w:cstheme="minorHAnsi"/>
                <w:sz w:val="22"/>
              </w:rPr>
              <w:t>opatření pro zlepšení bezpečnosti a ochrany zdraví zaměstnanců při práci</w:t>
            </w:r>
          </w:p>
          <w:p w14:paraId="60AE2F09" w14:textId="4AA35598" w:rsidR="004537A3" w:rsidRPr="004B49F0" w:rsidRDefault="00F85223" w:rsidP="004B49F0">
            <w:pPr>
              <w:jc w:val="both"/>
              <w:rPr>
                <w:rFonts w:eastAsia="Calibri" w:cstheme="minorHAnsi"/>
                <w:sz w:val="22"/>
              </w:rPr>
            </w:pPr>
            <w:r w:rsidRPr="004B49F0">
              <w:rPr>
                <w:rFonts w:eastAsia="Calibri" w:cstheme="minorHAnsi"/>
                <w:sz w:val="22"/>
              </w:rPr>
              <w:t>V roce 2020 bylo provedeno v oblasti BOZP a VTZ celkem 6</w:t>
            </w:r>
            <w:r w:rsidR="00064E44" w:rsidRPr="004B49F0">
              <w:rPr>
                <w:rFonts w:eastAsia="Calibri" w:cstheme="minorHAnsi"/>
                <w:sz w:val="22"/>
              </w:rPr>
              <w:t> </w:t>
            </w:r>
            <w:r w:rsidRPr="004B49F0">
              <w:rPr>
                <w:rFonts w:eastAsia="Calibri" w:cstheme="minorHAnsi"/>
                <w:sz w:val="22"/>
              </w:rPr>
              <w:t>226 kontrol. Z tohoto celkového počtu se jednalo o 4 357 kontrol v oblasti BOZP a 1 869 kontrol v oblasti VTZ.</w:t>
            </w:r>
          </w:p>
          <w:p w14:paraId="1E00FF26" w14:textId="466A50F1" w:rsidR="00F85223" w:rsidRPr="00F85223" w:rsidRDefault="00F85223" w:rsidP="004B49F0">
            <w:pPr>
              <w:jc w:val="both"/>
              <w:rPr>
                <w:rFonts w:cstheme="minorHAnsi"/>
                <w:sz w:val="22"/>
              </w:rPr>
            </w:pPr>
            <w:r w:rsidRPr="004B49F0">
              <w:rPr>
                <w:rFonts w:eastAsia="Calibri" w:cstheme="minorHAnsi"/>
                <w:sz w:val="22"/>
              </w:rPr>
              <w:t>Z provedených kontrol bylo celkem zjištěno 14 219 porušení v oblasti BOZP a VTZ.</w:t>
            </w:r>
          </w:p>
        </w:tc>
      </w:tr>
      <w:tr w:rsidR="00F85223" w:rsidRPr="004537A3" w14:paraId="78169F66" w14:textId="77777777" w:rsidTr="004537A3">
        <w:tc>
          <w:tcPr>
            <w:tcW w:w="1797" w:type="pct"/>
          </w:tcPr>
          <w:p w14:paraId="29E8CA1D" w14:textId="4F1E86E4" w:rsidR="00F85223" w:rsidRPr="00F85223" w:rsidRDefault="00F85223" w:rsidP="004537A3">
            <w:pPr>
              <w:spacing w:after="200" w:line="276" w:lineRule="auto"/>
              <w:rPr>
                <w:rFonts w:cstheme="minorHAnsi"/>
                <w:b/>
                <w:sz w:val="22"/>
              </w:rPr>
            </w:pPr>
            <w:r w:rsidRPr="00F85223">
              <w:rPr>
                <w:rFonts w:eastAsia="Calibri" w:cstheme="minorHAnsi"/>
                <w:b/>
                <w:bCs/>
                <w:sz w:val="22"/>
              </w:rPr>
              <w:t>Minimální požadavky na bezpečnost a ochranu zdraví</w:t>
            </w:r>
          </w:p>
        </w:tc>
        <w:tc>
          <w:tcPr>
            <w:tcW w:w="3203" w:type="pct"/>
          </w:tcPr>
          <w:p w14:paraId="3931EDEF" w14:textId="77777777" w:rsidR="00F85223" w:rsidRPr="00F85223" w:rsidRDefault="00F85223" w:rsidP="00F85223">
            <w:pPr>
              <w:jc w:val="both"/>
              <w:rPr>
                <w:rFonts w:eastAsia="Calibri" w:cstheme="minorHAnsi"/>
                <w:b/>
                <w:bCs/>
                <w:sz w:val="22"/>
                <w:u w:val="single"/>
              </w:rPr>
            </w:pPr>
            <w:r w:rsidRPr="00F85223">
              <w:rPr>
                <w:rFonts w:eastAsia="Calibri" w:cstheme="minorHAnsi"/>
                <w:b/>
                <w:bCs/>
                <w:sz w:val="22"/>
                <w:u w:val="single"/>
              </w:rPr>
              <w:t>Minimální požadavky na bezpečnost a ochranu zdraví při používání pracovního zařízení zaměstnanci</w:t>
            </w:r>
          </w:p>
          <w:p w14:paraId="4B81BE1E" w14:textId="77777777" w:rsidR="00F85223" w:rsidRPr="00F85223" w:rsidRDefault="00F85223" w:rsidP="00F85223">
            <w:pPr>
              <w:jc w:val="both"/>
              <w:rPr>
                <w:rFonts w:eastAsia="Calibri" w:cstheme="minorHAnsi"/>
                <w:b/>
                <w:bCs/>
                <w:sz w:val="22"/>
                <w:u w:val="single"/>
              </w:rPr>
            </w:pPr>
            <w:r w:rsidRPr="00F85223">
              <w:rPr>
                <w:rFonts w:eastAsia="Calibri" w:cstheme="minorHAnsi"/>
                <w:b/>
                <w:bCs/>
                <w:sz w:val="22"/>
                <w:u w:val="single"/>
              </w:rPr>
              <w:t>Směrnice 2009/104/ES</w:t>
            </w:r>
          </w:p>
          <w:p w14:paraId="30FED04B" w14:textId="77777777" w:rsidR="00F85223" w:rsidRDefault="00F85223" w:rsidP="004537A3">
            <w:pPr>
              <w:jc w:val="both"/>
              <w:rPr>
                <w:rFonts w:eastAsia="Calibri" w:cstheme="minorHAnsi"/>
                <w:b/>
                <w:bCs/>
                <w:sz w:val="22"/>
                <w:u w:val="single"/>
              </w:rPr>
            </w:pPr>
          </w:p>
          <w:p w14:paraId="629E9067" w14:textId="59973E22" w:rsidR="00F85223" w:rsidRPr="00F85223" w:rsidRDefault="00F85223" w:rsidP="004537A3">
            <w:pPr>
              <w:jc w:val="both"/>
              <w:rPr>
                <w:rFonts w:eastAsia="Calibri" w:cstheme="minorHAnsi"/>
                <w:i/>
                <w:iCs/>
                <w:sz w:val="22"/>
              </w:rPr>
            </w:pPr>
            <w:r>
              <w:rPr>
                <w:rFonts w:eastAsia="Calibri" w:cstheme="minorHAnsi"/>
                <w:i/>
                <w:iCs/>
                <w:sz w:val="22"/>
              </w:rPr>
              <w:t xml:space="preserve">Pozn.: </w:t>
            </w:r>
            <w:r w:rsidR="00D139B3" w:rsidRPr="00D139B3">
              <w:rPr>
                <w:rFonts w:eastAsia="Calibri" w:cstheme="minorHAnsi"/>
                <w:i/>
                <w:iCs/>
                <w:sz w:val="22"/>
              </w:rPr>
              <w:t xml:space="preserve">Nemáme zatím </w:t>
            </w:r>
            <w:r w:rsidR="00D139B3">
              <w:rPr>
                <w:rFonts w:eastAsia="Calibri" w:cstheme="minorHAnsi"/>
                <w:i/>
                <w:iCs/>
                <w:sz w:val="22"/>
              </w:rPr>
              <w:t>dostupné informace. Směrnice byla z</w:t>
            </w:r>
            <w:r w:rsidRPr="00F85223">
              <w:rPr>
                <w:rFonts w:eastAsia="Calibri" w:cstheme="minorHAnsi"/>
                <w:i/>
                <w:iCs/>
                <w:sz w:val="22"/>
              </w:rPr>
              <w:t>ařazena později v průběhu projednávání</w:t>
            </w:r>
            <w:r w:rsidR="00D139B3">
              <w:rPr>
                <w:rFonts w:eastAsia="Calibri" w:cstheme="minorHAnsi"/>
                <w:i/>
                <w:iCs/>
                <w:sz w:val="22"/>
              </w:rPr>
              <w:t xml:space="preserve"> až po obdržení vyžádaných informací od MPSV</w:t>
            </w:r>
            <w:r w:rsidRPr="00F85223">
              <w:rPr>
                <w:rFonts w:eastAsia="Calibri" w:cstheme="minorHAnsi"/>
                <w:i/>
                <w:iCs/>
                <w:sz w:val="22"/>
              </w:rPr>
              <w:t>.</w:t>
            </w:r>
          </w:p>
        </w:tc>
      </w:tr>
    </w:tbl>
    <w:p w14:paraId="1AEB49E3" w14:textId="77777777" w:rsidR="003B5537" w:rsidRPr="003B5537" w:rsidRDefault="003B5537" w:rsidP="003B5537"/>
    <w:p w14:paraId="2F0651A7" w14:textId="77777777" w:rsidR="006722A0" w:rsidRDefault="006722A0" w:rsidP="00416338">
      <w:pPr>
        <w:jc w:val="both"/>
        <w:rPr>
          <w:b/>
          <w:bCs/>
          <w:szCs w:val="24"/>
        </w:rPr>
      </w:pPr>
    </w:p>
    <w:p w14:paraId="038B6E48" w14:textId="0383B6EE" w:rsidR="00416338" w:rsidRPr="00416338" w:rsidRDefault="00BD0D4D" w:rsidP="00B45D88">
      <w:pPr>
        <w:pStyle w:val="Nadpis1"/>
        <w:numPr>
          <w:ilvl w:val="0"/>
          <w:numId w:val="19"/>
        </w:numPr>
        <w:ind w:left="284" w:hanging="284"/>
        <w:rPr>
          <w:sz w:val="24"/>
        </w:rPr>
      </w:pPr>
      <w:bookmarkStart w:id="14" w:name="_Toc162512847"/>
      <w:r>
        <w:t>Dotazy ČS, odpovědi EK</w:t>
      </w:r>
      <w:bookmarkEnd w:id="14"/>
    </w:p>
    <w:p w14:paraId="4D13A054" w14:textId="771783B4" w:rsidR="00970302" w:rsidRDefault="00970302" w:rsidP="006722A0">
      <w:pPr>
        <w:pStyle w:val="Odstavecseseznamem"/>
        <w:numPr>
          <w:ilvl w:val="0"/>
          <w:numId w:val="2"/>
        </w:numPr>
        <w:jc w:val="both"/>
        <w:rPr>
          <w:b/>
          <w:bCs/>
          <w:szCs w:val="24"/>
          <w:lang w:val="en-US"/>
        </w:rPr>
      </w:pPr>
      <w:r w:rsidRPr="00416338">
        <w:rPr>
          <w:b/>
          <w:bCs/>
          <w:szCs w:val="24"/>
          <w:lang w:val="en-US"/>
        </w:rPr>
        <w:t xml:space="preserve">Letter of </w:t>
      </w:r>
      <w:r w:rsidRPr="00416338">
        <w:rPr>
          <w:b/>
          <w:bCs/>
          <w:szCs w:val="24"/>
          <w:u w:val="single"/>
          <w:lang w:val="en-US"/>
        </w:rPr>
        <w:t>6 October 2023</w:t>
      </w:r>
      <w:r w:rsidRPr="00416338">
        <w:rPr>
          <w:b/>
          <w:bCs/>
          <w:szCs w:val="24"/>
          <w:lang w:val="en-US"/>
        </w:rPr>
        <w:t xml:space="preserve"> on the administrative penalties system envisaged in Denmark for the system of social conditionality pursuant to Article 14 of</w:t>
      </w:r>
      <w:r w:rsidR="00780D81">
        <w:rPr>
          <w:b/>
          <w:bCs/>
          <w:szCs w:val="24"/>
          <w:lang w:val="en-US"/>
        </w:rPr>
        <w:t> </w:t>
      </w:r>
      <w:r w:rsidRPr="00416338">
        <w:rPr>
          <w:b/>
          <w:bCs/>
          <w:szCs w:val="24"/>
          <w:lang w:val="en-US"/>
        </w:rPr>
        <w:t>Regulation (EU) 2021/2115</w:t>
      </w:r>
      <w:r w:rsidR="00416338">
        <w:rPr>
          <w:b/>
          <w:bCs/>
          <w:szCs w:val="24"/>
          <w:lang w:val="en-US"/>
        </w:rPr>
        <w:t xml:space="preserve"> </w:t>
      </w:r>
    </w:p>
    <w:p w14:paraId="032A9AC8" w14:textId="04210AC4" w:rsidR="00416338" w:rsidRPr="00416338" w:rsidRDefault="002B4398" w:rsidP="00416338">
      <w:pPr>
        <w:pStyle w:val="Odstavecseseznamem"/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object w:dxaOrig="1532" w:dyaOrig="991" w14:anchorId="3EB1C05C">
          <v:shape id="_x0000_i1026" type="#_x0000_t75" style="width:76.5pt;height:49.5pt" o:ole="">
            <v:imagedata r:id="rId14" o:title=""/>
          </v:shape>
          <o:OLEObject Type="Embed" ProgID="Acrobat.Document.DC" ShapeID="_x0000_i1026" DrawAspect="Icon" ObjectID="_1773126780" r:id="rId15"/>
        </w:object>
      </w:r>
    </w:p>
    <w:p w14:paraId="7FBE34E3" w14:textId="17127655" w:rsidR="00970302" w:rsidRPr="00970302" w:rsidRDefault="00970302" w:rsidP="00970302">
      <w:pPr>
        <w:rPr>
          <w:szCs w:val="24"/>
        </w:rPr>
      </w:pPr>
      <w:r>
        <w:rPr>
          <w:szCs w:val="24"/>
        </w:rPr>
        <w:t>Z</w:t>
      </w:r>
      <w:r w:rsidRPr="00970302">
        <w:rPr>
          <w:szCs w:val="24"/>
        </w:rPr>
        <w:t>ákladní závěry EK z dopisu na dotazy Dánska:</w:t>
      </w:r>
    </w:p>
    <w:p w14:paraId="3EFFEF7C" w14:textId="50F11050" w:rsidR="00970302" w:rsidRPr="00970302" w:rsidRDefault="00970302" w:rsidP="00416338">
      <w:pPr>
        <w:ind w:left="851" w:hanging="425"/>
        <w:jc w:val="both"/>
        <w:rPr>
          <w:szCs w:val="24"/>
        </w:rPr>
      </w:pPr>
      <w:r w:rsidRPr="00970302">
        <w:rPr>
          <w:szCs w:val="24"/>
        </w:rPr>
        <w:t>1)</w:t>
      </w:r>
      <w:r w:rsidRPr="00970302">
        <w:rPr>
          <w:szCs w:val="24"/>
        </w:rPr>
        <w:tab/>
        <w:t xml:space="preserve">Případy, které by měly být dotčeny sankcí dle požadavků sociál. </w:t>
      </w:r>
      <w:proofErr w:type="spellStart"/>
      <w:r w:rsidRPr="00970302">
        <w:rPr>
          <w:szCs w:val="24"/>
        </w:rPr>
        <w:t>kondicionality</w:t>
      </w:r>
      <w:proofErr w:type="spellEnd"/>
      <w:r w:rsidRPr="00970302">
        <w:rPr>
          <w:szCs w:val="24"/>
        </w:rPr>
        <w:t xml:space="preserve">, jsou pouze ty na </w:t>
      </w:r>
      <w:r w:rsidRPr="00047A53">
        <w:rPr>
          <w:b/>
          <w:bCs/>
          <w:szCs w:val="24"/>
        </w:rPr>
        <w:t>základě vykonatelného rozhodnutí soudu</w:t>
      </w:r>
      <w:r w:rsidR="00047A53">
        <w:rPr>
          <w:b/>
          <w:bCs/>
          <w:szCs w:val="24"/>
        </w:rPr>
        <w:t>.</w:t>
      </w:r>
    </w:p>
    <w:p w14:paraId="5D2ADDED" w14:textId="008CD740" w:rsidR="00970302" w:rsidRPr="00970302" w:rsidRDefault="00970302" w:rsidP="00416338">
      <w:pPr>
        <w:ind w:left="851"/>
        <w:jc w:val="both"/>
        <w:rPr>
          <w:szCs w:val="24"/>
        </w:rPr>
      </w:pPr>
      <w:r w:rsidRPr="00970302">
        <w:rPr>
          <w:szCs w:val="24"/>
        </w:rPr>
        <w:t>Nelze zahrnovat případy, které jsou návazně řešeny např. kolektivní smlouvou a</w:t>
      </w:r>
      <w:r w:rsidR="007C3AF1">
        <w:rPr>
          <w:szCs w:val="24"/>
        </w:rPr>
        <w:t> </w:t>
      </w:r>
      <w:r w:rsidRPr="00970302">
        <w:rPr>
          <w:szCs w:val="24"/>
        </w:rPr>
        <w:t>s</w:t>
      </w:r>
      <w:r w:rsidR="007C3AF1">
        <w:rPr>
          <w:szCs w:val="24"/>
        </w:rPr>
        <w:t> </w:t>
      </w:r>
      <w:r w:rsidRPr="00970302">
        <w:rPr>
          <w:szCs w:val="24"/>
        </w:rPr>
        <w:t>případem nebyly obeznámeny orgány veřejné moci.</w:t>
      </w:r>
    </w:p>
    <w:p w14:paraId="5A88FE07" w14:textId="130C0811" w:rsidR="00970302" w:rsidRPr="00970302" w:rsidRDefault="00970302" w:rsidP="00416338">
      <w:pPr>
        <w:ind w:left="851" w:hanging="425"/>
        <w:jc w:val="both"/>
        <w:rPr>
          <w:szCs w:val="24"/>
        </w:rPr>
      </w:pPr>
      <w:r w:rsidRPr="00970302">
        <w:rPr>
          <w:szCs w:val="24"/>
        </w:rPr>
        <w:lastRenderedPageBreak/>
        <w:t>2)</w:t>
      </w:r>
      <w:r w:rsidRPr="00970302">
        <w:rPr>
          <w:szCs w:val="24"/>
        </w:rPr>
        <w:tab/>
      </w:r>
      <w:r w:rsidRPr="00047A53">
        <w:rPr>
          <w:b/>
          <w:bCs/>
          <w:szCs w:val="24"/>
        </w:rPr>
        <w:t>Sankce by se měla odvíjet alespoň od výše sankce z rozhodnutí soudu</w:t>
      </w:r>
      <w:r w:rsidRPr="00970302">
        <w:rPr>
          <w:szCs w:val="24"/>
        </w:rPr>
        <w:t>, pokud ji</w:t>
      </w:r>
      <w:r w:rsidR="007C3AF1">
        <w:rPr>
          <w:szCs w:val="24"/>
        </w:rPr>
        <w:t> </w:t>
      </w:r>
      <w:r w:rsidRPr="00970302">
        <w:rPr>
          <w:szCs w:val="24"/>
        </w:rPr>
        <w:t>nelze vyvodit z odůvodnění rozsudku. Při výpočtu těchto snížení a vyloučení se</w:t>
      </w:r>
      <w:r w:rsidR="007C3AF1">
        <w:rPr>
          <w:szCs w:val="24"/>
        </w:rPr>
        <w:t> </w:t>
      </w:r>
      <w:r w:rsidRPr="00970302">
        <w:rPr>
          <w:szCs w:val="24"/>
        </w:rPr>
        <w:t>přihlédne k závažnosti, rozsahu, trvalost</w:t>
      </w:r>
      <w:r w:rsidR="00047A53">
        <w:rPr>
          <w:szCs w:val="24"/>
        </w:rPr>
        <w:t>i</w:t>
      </w:r>
      <w:r w:rsidRPr="00970302">
        <w:rPr>
          <w:szCs w:val="24"/>
        </w:rPr>
        <w:t xml:space="preserve"> nebo opakování a úmyslu zjištěného porušení, v souladu s posouzením orgánů nebo subjektů uvedených v čl. 87 odst. 2“, tzn. osob odpovědných za prosazování sociální a zaměstnanecké legislativy.</w:t>
      </w:r>
    </w:p>
    <w:p w14:paraId="54863A51" w14:textId="4F9E2C4C" w:rsidR="00970302" w:rsidRPr="00970302" w:rsidRDefault="00970302" w:rsidP="00416338">
      <w:pPr>
        <w:ind w:left="851" w:hanging="425"/>
        <w:jc w:val="both"/>
        <w:rPr>
          <w:szCs w:val="24"/>
        </w:rPr>
      </w:pPr>
      <w:r w:rsidRPr="00970302">
        <w:rPr>
          <w:szCs w:val="24"/>
        </w:rPr>
        <w:t>3)</w:t>
      </w:r>
      <w:r w:rsidRPr="00970302">
        <w:rPr>
          <w:szCs w:val="24"/>
        </w:rPr>
        <w:tab/>
        <w:t>Případy soc. podmíněnosti musí být hodnoceny stejnými kritérii jako podmíněnost</w:t>
      </w:r>
      <w:r w:rsidR="00780D81">
        <w:rPr>
          <w:szCs w:val="24"/>
        </w:rPr>
        <w:t>,</w:t>
      </w:r>
      <w:r w:rsidRPr="00970302">
        <w:rPr>
          <w:szCs w:val="24"/>
        </w:rPr>
        <w:t xml:space="preserve"> tj. podle čl. 84 odst. 1 nař</w:t>
      </w:r>
      <w:r w:rsidR="00780D81">
        <w:rPr>
          <w:szCs w:val="24"/>
        </w:rPr>
        <w:t>ízení</w:t>
      </w:r>
      <w:r w:rsidRPr="00970302">
        <w:rPr>
          <w:szCs w:val="24"/>
        </w:rPr>
        <w:t xml:space="preserve"> 2021/2116</w:t>
      </w:r>
    </w:p>
    <w:p w14:paraId="3C782538" w14:textId="77777777" w:rsidR="00970302" w:rsidRPr="00970302" w:rsidRDefault="00970302" w:rsidP="00416338">
      <w:pPr>
        <w:jc w:val="both"/>
        <w:rPr>
          <w:szCs w:val="24"/>
        </w:rPr>
      </w:pPr>
      <w:r w:rsidRPr="00970302">
        <w:rPr>
          <w:szCs w:val="24"/>
        </w:rPr>
        <w:t xml:space="preserve">               a) nedodržení souvisí se zemědělskou činností příjemce; </w:t>
      </w:r>
    </w:p>
    <w:p w14:paraId="32F2F360" w14:textId="317028B1" w:rsidR="007C384C" w:rsidRDefault="00970302" w:rsidP="00416338">
      <w:pPr>
        <w:ind w:left="1134" w:hanging="1134"/>
        <w:jc w:val="both"/>
        <w:rPr>
          <w:szCs w:val="24"/>
        </w:rPr>
      </w:pPr>
      <w:r w:rsidRPr="00970302">
        <w:rPr>
          <w:szCs w:val="24"/>
        </w:rPr>
        <w:t xml:space="preserve">               b) nedodržení se týká zemědělského podniku, jak je vymezen v čl. 3 bodu 2 nařízení (EU) 2021/2115, nebo jiných ploch spravovaných příjemcem, které se nacházejí na území téhož členského státu.</w:t>
      </w:r>
    </w:p>
    <w:p w14:paraId="493DFC62" w14:textId="77777777" w:rsidR="003B5537" w:rsidRDefault="003B5537" w:rsidP="003B5537">
      <w:pPr>
        <w:pStyle w:val="Default"/>
      </w:pPr>
    </w:p>
    <w:p w14:paraId="1CB6EC4B" w14:textId="02163B53" w:rsidR="003B5537" w:rsidRPr="002B4398" w:rsidRDefault="003B5537" w:rsidP="003B5537">
      <w:pPr>
        <w:pStyle w:val="Odstavecseseznamem"/>
        <w:numPr>
          <w:ilvl w:val="0"/>
          <w:numId w:val="9"/>
        </w:numPr>
        <w:jc w:val="both"/>
        <w:rPr>
          <w:b/>
          <w:bCs/>
          <w:szCs w:val="24"/>
        </w:rPr>
      </w:pPr>
      <w:r w:rsidRPr="003B5537">
        <w:rPr>
          <w:b/>
          <w:bCs/>
        </w:rPr>
        <w:t xml:space="preserve">E-mail </w:t>
      </w:r>
      <w:proofErr w:type="spellStart"/>
      <w:r w:rsidRPr="003B5537">
        <w:rPr>
          <w:b/>
          <w:bCs/>
        </w:rPr>
        <w:t>of</w:t>
      </w:r>
      <w:proofErr w:type="spellEnd"/>
      <w:r w:rsidRPr="003B5537">
        <w:rPr>
          <w:b/>
          <w:bCs/>
        </w:rPr>
        <w:t xml:space="preserve"> 14 </w:t>
      </w:r>
      <w:proofErr w:type="spellStart"/>
      <w:r w:rsidRPr="003B5537">
        <w:rPr>
          <w:b/>
          <w:bCs/>
        </w:rPr>
        <w:t>November</w:t>
      </w:r>
      <w:proofErr w:type="spellEnd"/>
      <w:r w:rsidRPr="003B5537">
        <w:rPr>
          <w:b/>
          <w:bCs/>
        </w:rPr>
        <w:t xml:space="preserve"> 2023 in </w:t>
      </w:r>
      <w:proofErr w:type="spellStart"/>
      <w:r w:rsidRPr="003B5537">
        <w:rPr>
          <w:b/>
          <w:bCs/>
        </w:rPr>
        <w:t>which</w:t>
      </w:r>
      <w:proofErr w:type="spellEnd"/>
      <w:r w:rsidRPr="003B5537">
        <w:rPr>
          <w:b/>
          <w:bCs/>
        </w:rPr>
        <w:t xml:space="preserve"> </w:t>
      </w:r>
      <w:proofErr w:type="spellStart"/>
      <w:r w:rsidRPr="003B5537">
        <w:rPr>
          <w:b/>
          <w:bCs/>
        </w:rPr>
        <w:t>you</w:t>
      </w:r>
      <w:proofErr w:type="spellEnd"/>
      <w:r w:rsidRPr="003B5537">
        <w:rPr>
          <w:b/>
          <w:bCs/>
        </w:rPr>
        <w:t xml:space="preserve"> </w:t>
      </w:r>
      <w:proofErr w:type="spellStart"/>
      <w:r w:rsidRPr="003B5537">
        <w:rPr>
          <w:b/>
          <w:bCs/>
        </w:rPr>
        <w:t>raise</w:t>
      </w:r>
      <w:proofErr w:type="spellEnd"/>
      <w:r w:rsidRPr="003B5537">
        <w:rPr>
          <w:b/>
          <w:bCs/>
        </w:rPr>
        <w:t xml:space="preserve"> </w:t>
      </w:r>
      <w:proofErr w:type="spellStart"/>
      <w:r w:rsidRPr="003B5537">
        <w:rPr>
          <w:b/>
          <w:bCs/>
        </w:rPr>
        <w:t>questions</w:t>
      </w:r>
      <w:proofErr w:type="spellEnd"/>
      <w:r w:rsidRPr="003B5537">
        <w:rPr>
          <w:b/>
          <w:bCs/>
        </w:rPr>
        <w:t xml:space="preserve"> on </w:t>
      </w:r>
      <w:proofErr w:type="spellStart"/>
      <w:r w:rsidRPr="003B5537">
        <w:rPr>
          <w:b/>
          <w:bCs/>
        </w:rPr>
        <w:t>the</w:t>
      </w:r>
      <w:proofErr w:type="spellEnd"/>
      <w:r w:rsidRPr="003B5537">
        <w:rPr>
          <w:b/>
          <w:bCs/>
        </w:rPr>
        <w:t xml:space="preserve"> </w:t>
      </w:r>
      <w:proofErr w:type="spellStart"/>
      <w:r w:rsidRPr="003B5537">
        <w:rPr>
          <w:b/>
          <w:bCs/>
        </w:rPr>
        <w:t>reductions</w:t>
      </w:r>
      <w:proofErr w:type="spellEnd"/>
      <w:r w:rsidRPr="003B5537">
        <w:rPr>
          <w:b/>
          <w:bCs/>
        </w:rPr>
        <w:t xml:space="preserve"> </w:t>
      </w:r>
      <w:proofErr w:type="spellStart"/>
      <w:r w:rsidRPr="003B5537">
        <w:rPr>
          <w:b/>
          <w:bCs/>
        </w:rPr>
        <w:t>for</w:t>
      </w:r>
      <w:proofErr w:type="spellEnd"/>
      <w:r w:rsidRPr="003B5537">
        <w:rPr>
          <w:b/>
          <w:bCs/>
        </w:rPr>
        <w:t xml:space="preserve"> </w:t>
      </w:r>
      <w:proofErr w:type="spellStart"/>
      <w:r w:rsidRPr="003B5537">
        <w:rPr>
          <w:b/>
          <w:bCs/>
        </w:rPr>
        <w:t>the</w:t>
      </w:r>
      <w:proofErr w:type="spellEnd"/>
      <w:r w:rsidRPr="003B5537">
        <w:rPr>
          <w:b/>
          <w:bCs/>
        </w:rPr>
        <w:t xml:space="preserve"> </w:t>
      </w:r>
      <w:proofErr w:type="spellStart"/>
      <w:r w:rsidRPr="003B5537">
        <w:rPr>
          <w:b/>
          <w:bCs/>
        </w:rPr>
        <w:t>system</w:t>
      </w:r>
      <w:proofErr w:type="spellEnd"/>
      <w:r w:rsidRPr="003B5537">
        <w:rPr>
          <w:b/>
          <w:bCs/>
        </w:rPr>
        <w:t xml:space="preserve"> </w:t>
      </w:r>
      <w:proofErr w:type="spellStart"/>
      <w:r w:rsidRPr="003B5537">
        <w:rPr>
          <w:b/>
          <w:bCs/>
        </w:rPr>
        <w:t>of</w:t>
      </w:r>
      <w:proofErr w:type="spellEnd"/>
      <w:r w:rsidRPr="003B5537">
        <w:rPr>
          <w:b/>
          <w:bCs/>
        </w:rPr>
        <w:t xml:space="preserve"> </w:t>
      </w:r>
      <w:proofErr w:type="spellStart"/>
      <w:r w:rsidRPr="003B5537">
        <w:rPr>
          <w:b/>
          <w:bCs/>
        </w:rPr>
        <w:t>social</w:t>
      </w:r>
      <w:proofErr w:type="spellEnd"/>
      <w:r w:rsidRPr="003B5537">
        <w:rPr>
          <w:b/>
          <w:bCs/>
        </w:rPr>
        <w:t xml:space="preserve"> </w:t>
      </w:r>
      <w:proofErr w:type="spellStart"/>
      <w:r w:rsidRPr="003B5537">
        <w:rPr>
          <w:b/>
          <w:bCs/>
        </w:rPr>
        <w:t>conditionality</w:t>
      </w:r>
      <w:proofErr w:type="spellEnd"/>
      <w:r w:rsidRPr="003B5537">
        <w:rPr>
          <w:b/>
          <w:bCs/>
        </w:rPr>
        <w:t xml:space="preserve"> - Ministry </w:t>
      </w:r>
      <w:proofErr w:type="spellStart"/>
      <w:r w:rsidRPr="003B5537">
        <w:rPr>
          <w:b/>
          <w:bCs/>
        </w:rPr>
        <w:t>of</w:t>
      </w:r>
      <w:proofErr w:type="spellEnd"/>
      <w:r w:rsidRPr="003B5537">
        <w:rPr>
          <w:b/>
          <w:bCs/>
        </w:rPr>
        <w:t xml:space="preserve"> </w:t>
      </w:r>
      <w:proofErr w:type="spellStart"/>
      <w:r w:rsidRPr="003B5537">
        <w:rPr>
          <w:b/>
          <w:bCs/>
        </w:rPr>
        <w:t>Agriculture</w:t>
      </w:r>
      <w:proofErr w:type="spellEnd"/>
      <w:r w:rsidRPr="003B5537">
        <w:rPr>
          <w:b/>
          <w:bCs/>
        </w:rPr>
        <w:t xml:space="preserve"> and </w:t>
      </w:r>
      <w:proofErr w:type="spellStart"/>
      <w:r w:rsidRPr="003B5537">
        <w:rPr>
          <w:b/>
          <w:bCs/>
        </w:rPr>
        <w:t>Forestry</w:t>
      </w:r>
      <w:proofErr w:type="spellEnd"/>
      <w:r w:rsidRPr="003B5537">
        <w:rPr>
          <w:b/>
          <w:bCs/>
        </w:rPr>
        <w:t xml:space="preserve"> </w:t>
      </w:r>
      <w:proofErr w:type="spellStart"/>
      <w:r w:rsidRPr="003B5537">
        <w:rPr>
          <w:b/>
          <w:bCs/>
        </w:rPr>
        <w:t>of</w:t>
      </w:r>
      <w:proofErr w:type="spellEnd"/>
      <w:r w:rsidR="00780D81">
        <w:rPr>
          <w:b/>
          <w:bCs/>
        </w:rPr>
        <w:t> </w:t>
      </w:r>
      <w:proofErr w:type="spellStart"/>
      <w:r w:rsidRPr="003B5537">
        <w:rPr>
          <w:b/>
          <w:bCs/>
        </w:rPr>
        <w:t>Finland</w:t>
      </w:r>
      <w:proofErr w:type="spellEnd"/>
    </w:p>
    <w:p w14:paraId="06778785" w14:textId="77777777" w:rsidR="002B4398" w:rsidRDefault="002B4398" w:rsidP="002B4398">
      <w:pPr>
        <w:pStyle w:val="Odstavecseseznamem"/>
        <w:ind w:left="780"/>
        <w:jc w:val="both"/>
        <w:rPr>
          <w:b/>
          <w:bCs/>
        </w:rPr>
      </w:pPr>
    </w:p>
    <w:p w14:paraId="56DAAE28" w14:textId="586CD615" w:rsidR="002B4398" w:rsidRPr="003B5537" w:rsidRDefault="00B616D5" w:rsidP="002B4398">
      <w:pPr>
        <w:pStyle w:val="Odstavecseseznamem"/>
        <w:ind w:left="780"/>
        <w:jc w:val="both"/>
        <w:rPr>
          <w:b/>
          <w:bCs/>
          <w:szCs w:val="24"/>
        </w:rPr>
      </w:pPr>
      <w:r>
        <w:rPr>
          <w:szCs w:val="24"/>
        </w:rPr>
        <w:object w:dxaOrig="1532" w:dyaOrig="991" w14:anchorId="1E5810BC">
          <v:shape id="_x0000_i1027" type="#_x0000_t75" style="width:76.5pt;height:49.5pt" o:ole="">
            <v:imagedata r:id="rId16" o:title=""/>
          </v:shape>
          <o:OLEObject Type="Embed" ProgID="Acrobat.Document.DC" ShapeID="_x0000_i1027" DrawAspect="Icon" ObjectID="_1773126781" r:id="rId17"/>
        </w:object>
      </w:r>
    </w:p>
    <w:p w14:paraId="6227722E" w14:textId="77777777" w:rsidR="003B5537" w:rsidRDefault="003B5537" w:rsidP="003B5537">
      <w:pPr>
        <w:pStyle w:val="Odstavecseseznamem"/>
        <w:ind w:left="780"/>
        <w:jc w:val="both"/>
        <w:rPr>
          <w:b/>
          <w:bCs/>
        </w:rPr>
      </w:pPr>
    </w:p>
    <w:p w14:paraId="1FC98232" w14:textId="5845872C" w:rsidR="003B5537" w:rsidRDefault="003B5537" w:rsidP="003B5537">
      <w:pPr>
        <w:pStyle w:val="Odstavecseseznamem"/>
        <w:ind w:left="780"/>
        <w:jc w:val="both"/>
      </w:pPr>
      <w:r w:rsidRPr="003B5537">
        <w:t>Odpovědi EK na 3 otázky</w:t>
      </w:r>
      <w:r>
        <w:t>:</w:t>
      </w:r>
    </w:p>
    <w:p w14:paraId="323E6590" w14:textId="77777777" w:rsidR="003B5537" w:rsidRDefault="003B5537" w:rsidP="003B5537">
      <w:pPr>
        <w:pStyle w:val="Odstavecseseznamem"/>
        <w:ind w:left="780"/>
        <w:jc w:val="both"/>
      </w:pPr>
    </w:p>
    <w:p w14:paraId="71F56726" w14:textId="29EE9F38" w:rsidR="003B5537" w:rsidRDefault="00047A53" w:rsidP="003B5537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P</w:t>
      </w:r>
      <w:r w:rsidRPr="00047A53">
        <w:rPr>
          <w:szCs w:val="24"/>
        </w:rPr>
        <w:t>rvní otázka se týká možné obtížnosti posouzení informací získaných od</w:t>
      </w:r>
      <w:r w:rsidR="00780D81">
        <w:rPr>
          <w:szCs w:val="24"/>
        </w:rPr>
        <w:t> </w:t>
      </w:r>
      <w:r w:rsidRPr="00047A53">
        <w:rPr>
          <w:szCs w:val="24"/>
        </w:rPr>
        <w:t xml:space="preserve">inspektorů bezpečnosti a ochrany zdraví při práci za účelem stanovení možného snížení v rámci sociálních podmínek. </w:t>
      </w:r>
      <w:r w:rsidR="00CF39A8">
        <w:rPr>
          <w:szCs w:val="24"/>
        </w:rPr>
        <w:t>M</w:t>
      </w:r>
      <w:r w:rsidR="00CF39A8" w:rsidRPr="00CF39A8">
        <w:rPr>
          <w:szCs w:val="24"/>
        </w:rPr>
        <w:t>ůže platební agentura uplatnit „nejnižší procento snížení podpory, které se uplatňuje u tzv. standardních nedodržení sociální podmíněnosti“, například 1 %, v případě, že platební agentura neobdrží dostatečné informace, např. o závažnosti a opakování, od inspektorů BOZP</w:t>
      </w:r>
      <w:r w:rsidR="00CF39A8">
        <w:rPr>
          <w:szCs w:val="24"/>
        </w:rPr>
        <w:t>?</w:t>
      </w:r>
    </w:p>
    <w:p w14:paraId="0FAD82A3" w14:textId="77777777" w:rsidR="002B4398" w:rsidRDefault="002B4398" w:rsidP="002B4398">
      <w:pPr>
        <w:pStyle w:val="Odstavecseseznamem"/>
        <w:ind w:left="1140"/>
        <w:jc w:val="both"/>
        <w:rPr>
          <w:szCs w:val="24"/>
        </w:rPr>
      </w:pPr>
    </w:p>
    <w:p w14:paraId="5F6297F0" w14:textId="53E7DD71" w:rsidR="002B4398" w:rsidRDefault="002B4398" w:rsidP="002B4398">
      <w:pPr>
        <w:pStyle w:val="Odstavecseseznamem"/>
        <w:ind w:left="1140"/>
        <w:jc w:val="both"/>
        <w:rPr>
          <w:szCs w:val="24"/>
        </w:rPr>
      </w:pPr>
      <w:r>
        <w:rPr>
          <w:szCs w:val="24"/>
        </w:rPr>
        <w:t>Odpověď EK:</w:t>
      </w:r>
    </w:p>
    <w:p w14:paraId="74F17079" w14:textId="4DBB1EEB" w:rsidR="002B4398" w:rsidRPr="002B4398" w:rsidRDefault="002B4398" w:rsidP="002B4398">
      <w:pPr>
        <w:pStyle w:val="Odstavecseseznamem"/>
        <w:ind w:left="1140"/>
        <w:jc w:val="both"/>
        <w:rPr>
          <w:szCs w:val="24"/>
        </w:rPr>
      </w:pPr>
      <w:r w:rsidRPr="002B4398">
        <w:rPr>
          <w:szCs w:val="24"/>
        </w:rPr>
        <w:t>V tomto ohledu lze poznamenat, že čl. 87 odst. 1 druhý pododstavec nařízení (EU) 2021/2116 stanoví, že „Členské státy využijí svých příslušných kontrolních a</w:t>
      </w:r>
      <w:r w:rsidR="00780D81">
        <w:rPr>
          <w:szCs w:val="24"/>
        </w:rPr>
        <w:t> </w:t>
      </w:r>
      <w:r w:rsidRPr="002B4398">
        <w:rPr>
          <w:szCs w:val="24"/>
        </w:rPr>
        <w:t>vynucovacích systémů v oblasti sociálních a pracovních právních předpisů a</w:t>
      </w:r>
      <w:r w:rsidR="00780D81">
        <w:rPr>
          <w:szCs w:val="24"/>
        </w:rPr>
        <w:t> </w:t>
      </w:r>
      <w:r w:rsidRPr="002B4398">
        <w:rPr>
          <w:szCs w:val="24"/>
        </w:rPr>
        <w:t>příslušných pracovní normy." To skutečně zahrnuje spoléhání se na stávající vynucovací a kontrolní systémy, případně včetně inspekcí bezpečnosti a ochrany zdraví při práci.</w:t>
      </w:r>
    </w:p>
    <w:p w14:paraId="6C0FA047" w14:textId="2DB71D91" w:rsidR="002B4398" w:rsidRDefault="002B4398" w:rsidP="002B4398">
      <w:pPr>
        <w:pStyle w:val="Odstavecseseznamem"/>
        <w:ind w:left="1140"/>
        <w:jc w:val="both"/>
        <w:rPr>
          <w:szCs w:val="24"/>
        </w:rPr>
      </w:pPr>
      <w:r w:rsidRPr="002B4398">
        <w:rPr>
          <w:szCs w:val="24"/>
        </w:rPr>
        <w:t>Ustanovení čl. 88 odst. 1 téhož nařízení dále stanoví, že „[...] platební agentura je</w:t>
      </w:r>
      <w:r w:rsidR="00780D81">
        <w:rPr>
          <w:szCs w:val="24"/>
        </w:rPr>
        <w:t> </w:t>
      </w:r>
      <w:r w:rsidRPr="002B4398">
        <w:rPr>
          <w:szCs w:val="24"/>
        </w:rPr>
        <w:t>nejméně jednou ročně informována o případech nedodržení, pokud orgány nebo subjekty v tomto ohledu přijaly vykonatelná rozhodnutí [odpovědný za</w:t>
      </w:r>
      <w:r w:rsidR="00780D81">
        <w:rPr>
          <w:szCs w:val="24"/>
        </w:rPr>
        <w:t> </w:t>
      </w:r>
      <w:r w:rsidRPr="002B4398">
        <w:rPr>
          <w:szCs w:val="24"/>
        </w:rPr>
        <w:t xml:space="preserve">prosazování sociální a pracovněprávní legislativy a platných pracovních norem]. </w:t>
      </w:r>
      <w:r w:rsidRPr="002B4398">
        <w:rPr>
          <w:color w:val="C45911" w:themeColor="accent2" w:themeShade="BF"/>
          <w:szCs w:val="24"/>
        </w:rPr>
        <w:t xml:space="preserve">Toto oznámení zahrnuje posouzení a klasifikaci závažnosti, rozsahu, trvání nebo opakovaného výskytu a úmyslu dotčeného nedodržení. </w:t>
      </w:r>
      <w:r w:rsidRPr="00047A53">
        <w:rPr>
          <w:color w:val="C45911" w:themeColor="accent2" w:themeShade="BF"/>
          <w:szCs w:val="24"/>
        </w:rPr>
        <w:t xml:space="preserve">Členské státy </w:t>
      </w:r>
      <w:r w:rsidRPr="00047A53">
        <w:rPr>
          <w:color w:val="C45911" w:themeColor="accent2" w:themeShade="BF"/>
          <w:szCs w:val="24"/>
        </w:rPr>
        <w:lastRenderedPageBreak/>
        <w:t>mohou k provedení takového hodnocení využít jakýkoli platný vnitrostátní systém klasifikace pracovních sankcí.</w:t>
      </w:r>
      <w:r w:rsidRPr="002B4398">
        <w:rPr>
          <w:szCs w:val="24"/>
        </w:rPr>
        <w:t xml:space="preserve"> Oznámení platební agentuře musí respektovat vnitřní organizaci, úkoly a postupy úřadů a orgánů [odpovědn</w:t>
      </w:r>
      <w:r w:rsidR="00047A53">
        <w:rPr>
          <w:szCs w:val="24"/>
        </w:rPr>
        <w:t>ých</w:t>
      </w:r>
      <w:r w:rsidRPr="002B4398">
        <w:rPr>
          <w:szCs w:val="24"/>
        </w:rPr>
        <w:t xml:space="preserve"> za prosazování sociálních a pracovněprávních předpisů a platných pracovních norem].</w:t>
      </w:r>
    </w:p>
    <w:p w14:paraId="26241CFC" w14:textId="1C5E3ED7" w:rsidR="002B4398" w:rsidRDefault="002B4398" w:rsidP="002B4398">
      <w:pPr>
        <w:pStyle w:val="Odstavecseseznamem"/>
        <w:ind w:left="1140"/>
        <w:jc w:val="both"/>
        <w:rPr>
          <w:szCs w:val="24"/>
        </w:rPr>
      </w:pPr>
      <w:r w:rsidRPr="002B4398">
        <w:rPr>
          <w:szCs w:val="24"/>
        </w:rPr>
        <w:t xml:space="preserve">V důsledku toho </w:t>
      </w:r>
      <w:r w:rsidRPr="002B4398">
        <w:rPr>
          <w:color w:val="C45911" w:themeColor="accent2" w:themeShade="BF"/>
          <w:szCs w:val="24"/>
        </w:rPr>
        <w:t xml:space="preserve">musí členské státy zavést systém, který zajistí, aby platební agentura dostávala oznámení obsahující informace a hodnocení </w:t>
      </w:r>
      <w:r w:rsidRPr="002B4398">
        <w:rPr>
          <w:szCs w:val="24"/>
        </w:rPr>
        <w:t>stanovené v</w:t>
      </w:r>
      <w:r w:rsidR="00780D81">
        <w:rPr>
          <w:szCs w:val="24"/>
        </w:rPr>
        <w:t> </w:t>
      </w:r>
      <w:r w:rsidRPr="002B4398">
        <w:rPr>
          <w:szCs w:val="24"/>
        </w:rPr>
        <w:t>čl.</w:t>
      </w:r>
      <w:r w:rsidR="00780D81">
        <w:rPr>
          <w:szCs w:val="24"/>
        </w:rPr>
        <w:t> </w:t>
      </w:r>
      <w:r w:rsidRPr="002B4398">
        <w:rPr>
          <w:szCs w:val="24"/>
        </w:rPr>
        <w:t xml:space="preserve">88 odst. 1 nařízení (EU) 2021/2116. </w:t>
      </w:r>
      <w:r w:rsidRPr="002B4398">
        <w:rPr>
          <w:color w:val="C45911" w:themeColor="accent2" w:themeShade="BF"/>
          <w:szCs w:val="24"/>
        </w:rPr>
        <w:t>Je třeba připomenout, že do oznámení platební agentuře by měla být zahrnuta pouze „vymahatelná rozhodnutí</w:t>
      </w:r>
      <w:r w:rsidRPr="002B4398">
        <w:rPr>
          <w:szCs w:val="24"/>
        </w:rPr>
        <w:t>“ orgánů a subjektů odpovědných za prosazování sociálních a platných pracovních norem. Je-li k posouzení prvků stanovených v čl. 88 odst. 1 uvedeného nařízení nezbytné další sledování takových „vymahatelných rozhodnutí“ přijatých podle právních předpisů v sociální oblasti a zaměstnanosti, měl by členský stát zavést opatření, která umožní dotčeným orgánům a subjektům splnit úkoly související s</w:t>
      </w:r>
      <w:r w:rsidR="00780D81">
        <w:rPr>
          <w:szCs w:val="24"/>
        </w:rPr>
        <w:t> </w:t>
      </w:r>
      <w:r w:rsidRPr="002B4398">
        <w:rPr>
          <w:szCs w:val="24"/>
        </w:rPr>
        <w:t>posuzováním souladu s požadavky na sociální podmíněnost stanovenými v</w:t>
      </w:r>
      <w:r w:rsidR="00780D81">
        <w:rPr>
          <w:szCs w:val="24"/>
        </w:rPr>
        <w:t> </w:t>
      </w:r>
      <w:r w:rsidRPr="002B4398">
        <w:rPr>
          <w:szCs w:val="24"/>
        </w:rPr>
        <w:t xml:space="preserve">nařízení (EU) 2021/2115. </w:t>
      </w:r>
      <w:r w:rsidRPr="00047A53">
        <w:rPr>
          <w:color w:val="C45911" w:themeColor="accent2" w:themeShade="BF"/>
          <w:szCs w:val="24"/>
        </w:rPr>
        <w:t xml:space="preserve">Členské státy však také musí zajistit, aby existovalo jasné oddělení odpovědností mezi </w:t>
      </w:r>
      <w:bookmarkStart w:id="15" w:name="_Hlk161862949"/>
      <w:r w:rsidRPr="00047A53">
        <w:rPr>
          <w:color w:val="C45911" w:themeColor="accent2" w:themeShade="BF"/>
          <w:szCs w:val="24"/>
        </w:rPr>
        <w:t>orgány a subjekty odpovědnými za</w:t>
      </w:r>
      <w:r w:rsidR="00780D81">
        <w:rPr>
          <w:color w:val="C45911" w:themeColor="accent2" w:themeShade="BF"/>
          <w:szCs w:val="24"/>
        </w:rPr>
        <w:t> </w:t>
      </w:r>
      <w:r w:rsidRPr="00047A53">
        <w:rPr>
          <w:color w:val="C45911" w:themeColor="accent2" w:themeShade="BF"/>
          <w:szCs w:val="24"/>
        </w:rPr>
        <w:t>prosazování sociálních a pracovních právních předpisů a pracovních norem a</w:t>
      </w:r>
      <w:r w:rsidR="00780D81">
        <w:rPr>
          <w:color w:val="C45911" w:themeColor="accent2" w:themeShade="BF"/>
          <w:szCs w:val="24"/>
        </w:rPr>
        <w:t> </w:t>
      </w:r>
      <w:r w:rsidRPr="00047A53">
        <w:rPr>
          <w:color w:val="C45911" w:themeColor="accent2" w:themeShade="BF"/>
          <w:szCs w:val="24"/>
        </w:rPr>
        <w:t>platebními agenturami</w:t>
      </w:r>
      <w:bookmarkEnd w:id="15"/>
      <w:r w:rsidRPr="002B4398">
        <w:rPr>
          <w:szCs w:val="24"/>
        </w:rPr>
        <w:t>, které jsou mimo jiné odpovědné za uplatňování sankcí v rámci systému sociální podmíněnosti.</w:t>
      </w:r>
    </w:p>
    <w:p w14:paraId="62BC8FA4" w14:textId="6A994E18" w:rsidR="00047A53" w:rsidRDefault="00047A53" w:rsidP="002B4398">
      <w:pPr>
        <w:pStyle w:val="Odstavecseseznamem"/>
        <w:ind w:left="1140"/>
        <w:jc w:val="both"/>
        <w:rPr>
          <w:szCs w:val="24"/>
        </w:rPr>
      </w:pPr>
      <w:r w:rsidRPr="00047A53">
        <w:rPr>
          <w:szCs w:val="24"/>
        </w:rPr>
        <w:t>Ustanovení čl. 89 odst. 1 druhého pododstavce nařízení (EU) 2021/2116 dále stanoví, že „</w:t>
      </w:r>
      <w:r w:rsidRPr="00047A53">
        <w:rPr>
          <w:color w:val="C45911" w:themeColor="accent2" w:themeShade="BF"/>
          <w:szCs w:val="24"/>
        </w:rPr>
        <w:t>Při výpočtu těchto snížení a vyloučení je třeba vzít v úvahu závažnost, rozsah, trvalost nebo opakovaný výskyt a záměrnost nedodržení stanoven</w:t>
      </w:r>
      <w:r w:rsidR="00EE5691">
        <w:rPr>
          <w:color w:val="C45911" w:themeColor="accent2" w:themeShade="BF"/>
          <w:szCs w:val="24"/>
        </w:rPr>
        <w:t>é</w:t>
      </w:r>
      <w:r w:rsidRPr="00047A53">
        <w:rPr>
          <w:color w:val="C45911" w:themeColor="accent2" w:themeShade="BF"/>
          <w:szCs w:val="24"/>
        </w:rPr>
        <w:t xml:space="preserve"> v</w:t>
      </w:r>
      <w:r w:rsidR="00780D81">
        <w:rPr>
          <w:color w:val="C45911" w:themeColor="accent2" w:themeShade="BF"/>
          <w:szCs w:val="24"/>
        </w:rPr>
        <w:t> </w:t>
      </w:r>
      <w:r w:rsidRPr="00047A53">
        <w:rPr>
          <w:color w:val="C45911" w:themeColor="accent2" w:themeShade="BF"/>
          <w:szCs w:val="24"/>
        </w:rPr>
        <w:t>souladu s posouzením orgánů nebo subjektů uvedených v čl. 87 odst. 2</w:t>
      </w:r>
      <w:r w:rsidRPr="00047A53">
        <w:rPr>
          <w:szCs w:val="24"/>
        </w:rPr>
        <w:t xml:space="preserve">“, </w:t>
      </w:r>
      <w:r w:rsidRPr="00EE5691">
        <w:rPr>
          <w:color w:val="C45911" w:themeColor="accent2" w:themeShade="BF"/>
          <w:szCs w:val="24"/>
        </w:rPr>
        <w:t>tj. těch orgánů a subjektů odpovědných za prosazování právních předpisů v oblasti bezpečnosti a ochrany zdraví při práci</w:t>
      </w:r>
      <w:r w:rsidRPr="00047A53">
        <w:rPr>
          <w:szCs w:val="24"/>
        </w:rPr>
        <w:t xml:space="preserve">. </w:t>
      </w:r>
      <w:r w:rsidRPr="00EE5691">
        <w:rPr>
          <w:b/>
          <w:bCs/>
          <w:szCs w:val="24"/>
        </w:rPr>
        <w:t>Standardní použití nízké standardní sazby snížení (1 %) se proto nezdá být v souladu s tímto ustanovením</w:t>
      </w:r>
      <w:r w:rsidRPr="00047A53">
        <w:rPr>
          <w:szCs w:val="24"/>
        </w:rPr>
        <w:t>, vzhledem k tomu, že čl. 88 odst. 1 uvedeného nařízení umožňuje platební agentuře mít dostatečné informace k posouzení každého případu. své vlastní zásluhy a aby byly v souladu s čl. 89 odst. 1 uvedeného nařízení.</w:t>
      </w:r>
    </w:p>
    <w:p w14:paraId="1C62ACA4" w14:textId="77777777" w:rsidR="002B4398" w:rsidRDefault="002B4398" w:rsidP="002B4398">
      <w:pPr>
        <w:pStyle w:val="Odstavecseseznamem"/>
        <w:ind w:left="1140"/>
        <w:jc w:val="both"/>
        <w:rPr>
          <w:szCs w:val="24"/>
        </w:rPr>
      </w:pPr>
    </w:p>
    <w:p w14:paraId="7FB26BF0" w14:textId="1655F059" w:rsidR="002B4398" w:rsidRDefault="002B4398" w:rsidP="003B5537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D</w:t>
      </w:r>
      <w:r w:rsidRPr="002B4398">
        <w:rPr>
          <w:szCs w:val="24"/>
        </w:rPr>
        <w:t>ruhá otázka se týká kumulace snížení v případě porušení souvisejících s</w:t>
      </w:r>
      <w:r w:rsidR="00780D81">
        <w:rPr>
          <w:szCs w:val="24"/>
        </w:rPr>
        <w:t> </w:t>
      </w:r>
      <w:r w:rsidRPr="002B4398">
        <w:rPr>
          <w:szCs w:val="24"/>
        </w:rPr>
        <w:t>podmíněností i sociální podmíněností. Ptáte se, zda se mají snížení počítat samostatně nebo postupně</w:t>
      </w:r>
      <w:r>
        <w:rPr>
          <w:szCs w:val="24"/>
        </w:rPr>
        <w:t>?</w:t>
      </w:r>
    </w:p>
    <w:p w14:paraId="7DD906EF" w14:textId="77777777" w:rsidR="002B4398" w:rsidRDefault="002B4398" w:rsidP="002B4398">
      <w:pPr>
        <w:pStyle w:val="Odstavecseseznamem"/>
        <w:ind w:left="1140"/>
        <w:jc w:val="both"/>
        <w:rPr>
          <w:szCs w:val="24"/>
        </w:rPr>
      </w:pPr>
    </w:p>
    <w:p w14:paraId="1F1F22B7" w14:textId="6CCCB29E" w:rsidR="002B4398" w:rsidRPr="006D32B8" w:rsidRDefault="002B4398" w:rsidP="006D32B8">
      <w:pPr>
        <w:pStyle w:val="Odstavecseseznamem"/>
        <w:ind w:left="1140"/>
        <w:jc w:val="both"/>
        <w:rPr>
          <w:szCs w:val="24"/>
        </w:rPr>
      </w:pPr>
      <w:r>
        <w:rPr>
          <w:szCs w:val="24"/>
        </w:rPr>
        <w:t>Odpověď EK:</w:t>
      </w:r>
    </w:p>
    <w:p w14:paraId="39AABDFE" w14:textId="1E298EEE" w:rsidR="002B4398" w:rsidRDefault="002B4398" w:rsidP="002B4398">
      <w:pPr>
        <w:pStyle w:val="Odstavecseseznamem"/>
        <w:ind w:left="1140"/>
        <w:jc w:val="both"/>
        <w:rPr>
          <w:szCs w:val="24"/>
        </w:rPr>
      </w:pPr>
      <w:r w:rsidRPr="002B4398">
        <w:rPr>
          <w:szCs w:val="24"/>
        </w:rPr>
        <w:t xml:space="preserve">Výpočet správních sankcí upravují různé články pro podmíněnost a pro sociální podmíněnost, respektive článek 85 a článek 88 nařízení (EU) 2021/2116. Pokud neexistují žádná ustanovení upravující společný výpočet sankcí za podmíněnost i sociální podmíněnost, </w:t>
      </w:r>
      <w:r w:rsidRPr="00EE5691">
        <w:rPr>
          <w:color w:val="C45911" w:themeColor="accent2" w:themeShade="BF"/>
          <w:szCs w:val="24"/>
        </w:rPr>
        <w:t xml:space="preserve">musí se snížení vypočítat nezávisle na sobě, avšak takto vypočítané částky lze pro účely uplatnění snížení sečíst </w:t>
      </w:r>
      <w:r w:rsidRPr="002B4398">
        <w:rPr>
          <w:szCs w:val="24"/>
        </w:rPr>
        <w:t>(v ve vašem příkladu by tedy celkové snížení činilo 20 EUR).</w:t>
      </w:r>
    </w:p>
    <w:p w14:paraId="1E2FF4AD" w14:textId="77777777" w:rsidR="002B4398" w:rsidRDefault="002B4398" w:rsidP="002B4398">
      <w:pPr>
        <w:pStyle w:val="Odstavecseseznamem"/>
        <w:ind w:left="1140"/>
        <w:jc w:val="both"/>
        <w:rPr>
          <w:szCs w:val="24"/>
        </w:rPr>
      </w:pPr>
    </w:p>
    <w:p w14:paraId="1ABE3BE3" w14:textId="75C609BE" w:rsidR="002B4398" w:rsidRDefault="002B4398" w:rsidP="003B5537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T</w:t>
      </w:r>
      <w:r w:rsidRPr="002B4398">
        <w:rPr>
          <w:szCs w:val="24"/>
        </w:rPr>
        <w:t>řetí otázka se týká výpočtu snížení, zejména ve vztahu k článku 11 nařízení Komise v přenesené pravomoci (EU) 2022/1172.</w:t>
      </w:r>
    </w:p>
    <w:p w14:paraId="3DEE7845" w14:textId="77777777" w:rsidR="002B4398" w:rsidRDefault="002B4398" w:rsidP="002B4398">
      <w:pPr>
        <w:pStyle w:val="Odstavecseseznamem"/>
        <w:ind w:left="1140"/>
        <w:jc w:val="both"/>
        <w:rPr>
          <w:szCs w:val="24"/>
        </w:rPr>
      </w:pPr>
    </w:p>
    <w:p w14:paraId="1C388FEF" w14:textId="3CB39B30" w:rsidR="002B4398" w:rsidRPr="00B616D5" w:rsidRDefault="002B4398" w:rsidP="00B616D5">
      <w:pPr>
        <w:pStyle w:val="Odstavecseseznamem"/>
        <w:ind w:left="1140"/>
        <w:jc w:val="both"/>
        <w:rPr>
          <w:szCs w:val="24"/>
        </w:rPr>
      </w:pPr>
      <w:r>
        <w:rPr>
          <w:szCs w:val="24"/>
        </w:rPr>
        <w:lastRenderedPageBreak/>
        <w:t>Odpověď EK:</w:t>
      </w:r>
    </w:p>
    <w:p w14:paraId="07B78728" w14:textId="5DFF3C18" w:rsidR="006D32B8" w:rsidRDefault="006D32B8" w:rsidP="00047A53">
      <w:pPr>
        <w:pStyle w:val="Odstavecseseznamem"/>
        <w:ind w:left="1134"/>
        <w:jc w:val="both"/>
      </w:pPr>
      <w:r>
        <w:t>Za prvé, toto nařízení v přenesené pravomoci je založeno mimo jiné na čl. 85 odst. 7 nařízení (EU) 2021/2116, nikoli však na čl. 89 odst. 2 uvedeného nařízení, což Komisi umožňuje přijímat akty v přenesené pravomoci s podrobnými pravidly o</w:t>
      </w:r>
      <w:r w:rsidR="00780D81">
        <w:t> </w:t>
      </w:r>
      <w:r>
        <w:t xml:space="preserve">sankcích v respekt k sociální podmíněnosti. </w:t>
      </w:r>
      <w:r w:rsidRPr="00EE5691">
        <w:rPr>
          <w:color w:val="C45911" w:themeColor="accent2" w:themeShade="BF"/>
        </w:rPr>
        <w:t>Čl. 1 písm. c) nařízení v přenesené pravomoci (EU) 2022/1172 tedy stanoví oblast působnosti tohoto nařízení a</w:t>
      </w:r>
      <w:r w:rsidR="00780D81">
        <w:rPr>
          <w:color w:val="C45911" w:themeColor="accent2" w:themeShade="BF"/>
        </w:rPr>
        <w:t> </w:t>
      </w:r>
      <w:r w:rsidRPr="00EE5691">
        <w:rPr>
          <w:color w:val="C45911" w:themeColor="accent2" w:themeShade="BF"/>
        </w:rPr>
        <w:t xml:space="preserve">sociální podmíněnost do jeho působnosti nespadá. V důsledku toho by se její článek 11 neměl vztahovat na sankce za sociální podmíněnost. </w:t>
      </w:r>
      <w:r>
        <w:t xml:space="preserve">Při neexistenci zvláštních pravidel týkajících se sankcí týkajících se sociální podmíněnosti stanovených na úrovni Unie na základě čl. 89 odst. 2 nařízení (EU) 2021/2116 </w:t>
      </w:r>
      <w:r w:rsidRPr="00EE5691">
        <w:rPr>
          <w:color w:val="C45911" w:themeColor="accent2" w:themeShade="BF"/>
        </w:rPr>
        <w:t xml:space="preserve">mohou členské státy stanovit vnitrostátní pravidla pro výpočet sociální podmíněnosti </w:t>
      </w:r>
      <w:r>
        <w:t>v souladu s Uni</w:t>
      </w:r>
      <w:r w:rsidR="00EE5691">
        <w:t>jními</w:t>
      </w:r>
      <w:r>
        <w:t xml:space="preserve"> pravidl</w:t>
      </w:r>
      <w:r w:rsidR="00EE5691">
        <w:t>y</w:t>
      </w:r>
      <w:r>
        <w:t xml:space="preserve"> stanoven</w:t>
      </w:r>
      <w:r w:rsidR="00EE5691">
        <w:t>ými</w:t>
      </w:r>
      <w:r>
        <w:t xml:space="preserve"> v nařízení (EU) 2021/2116.</w:t>
      </w:r>
    </w:p>
    <w:p w14:paraId="6F028D48" w14:textId="46ACAEEB" w:rsidR="006D32B8" w:rsidRDefault="006D32B8" w:rsidP="00047A53">
      <w:pPr>
        <w:pStyle w:val="Odstavecseseznamem"/>
        <w:ind w:left="1134"/>
        <w:jc w:val="both"/>
      </w:pPr>
    </w:p>
    <w:p w14:paraId="7D610EE5" w14:textId="77777777" w:rsidR="006D32B8" w:rsidRDefault="006D32B8" w:rsidP="00047A53">
      <w:pPr>
        <w:pStyle w:val="Odstavecseseznamem"/>
        <w:ind w:left="1134"/>
        <w:jc w:val="both"/>
      </w:pPr>
      <w:r>
        <w:t>Zejména čl. 89 odst. 1 třetí pododstavec nařízení (EU) 2021/2116 stanoví určitá pravidla, která je třeba dodržovat pro výpočet sankcí, mezi něž patří rovněž určitá pravidla stanovená v článku 85 uvedeného nařízení, která jsou použít obdobně i pro výpočet sankcí souvisejících se sociální podmíněností.</w:t>
      </w:r>
    </w:p>
    <w:p w14:paraId="0F856FCA" w14:textId="23B13A10" w:rsidR="006D32B8" w:rsidRDefault="006D32B8" w:rsidP="00047A53">
      <w:pPr>
        <w:pStyle w:val="Odstavecseseznamem"/>
        <w:ind w:left="1134"/>
        <w:jc w:val="both"/>
      </w:pPr>
      <w:r>
        <w:t>Při stanovování vnitrostátních pravidel se mohou členské státy inspirovat pravidly Unie o sankcích souvisejících s podmíněností, což by mohlo zvýšit soudržnost vůči dotčeným příjemcům. Při stanovování těchto vnitrostátních pravidel musí členské státy dodržovat čl. 89 odst. 1 nařízení (EU) 2021/2116, který stanoví, že „Uložené správní sankce musí být účinné, přiměřené a</w:t>
      </w:r>
      <w:r w:rsidR="00780D81">
        <w:t> </w:t>
      </w:r>
      <w:r>
        <w:t>odrazující“.</w:t>
      </w:r>
    </w:p>
    <w:p w14:paraId="6C791DC2" w14:textId="610D4D61" w:rsidR="00CF39A8" w:rsidRDefault="006D32B8" w:rsidP="003F0716">
      <w:pPr>
        <w:pStyle w:val="Odstavecseseznamem"/>
        <w:ind w:left="1134"/>
        <w:jc w:val="both"/>
      </w:pPr>
      <w:r>
        <w:t>Zároveň však vzhledem k tomu, že nařízení v přenesené pravomoci (EU) 2022/1172 se nevztahuje na výpočet sankcí za sociální podmíněnost, ustanovení o omezení sankcí stanovená v článku 11 uvedeného nařízení v přenesené pravomoci se nepoužijí, pokud V obou případech lze nalézt soulad, pokud jde o</w:t>
      </w:r>
      <w:r w:rsidR="00780D81">
        <w:t> </w:t>
      </w:r>
      <w:r>
        <w:t>podmíněnost i sociální podmíněnost, protože každá z těchto sankcí se má vypočítat nezávisle na sobě. Pokud je jako ve vašem příkladu uplatněno 3 % snížení v každém ze systémů, celkové snížení musí být 6 %.</w:t>
      </w:r>
    </w:p>
    <w:p w14:paraId="70CA8FB3" w14:textId="246A7E4C" w:rsidR="003B5537" w:rsidRPr="004B49F0" w:rsidRDefault="003B5537" w:rsidP="006D32B8">
      <w:pPr>
        <w:pStyle w:val="Odstavecseseznamem"/>
        <w:ind w:left="780"/>
        <w:jc w:val="both"/>
        <w:rPr>
          <w:sz w:val="16"/>
          <w:szCs w:val="16"/>
        </w:rPr>
      </w:pPr>
    </w:p>
    <w:p w14:paraId="532D1F30" w14:textId="5B95CCC7" w:rsidR="00B616D5" w:rsidRDefault="00B616D5" w:rsidP="004B49F0">
      <w:pPr>
        <w:pStyle w:val="Nadpis1"/>
        <w:numPr>
          <w:ilvl w:val="0"/>
          <w:numId w:val="19"/>
        </w:numPr>
        <w:spacing w:after="120"/>
        <w:ind w:left="284" w:hanging="284"/>
      </w:pPr>
      <w:bookmarkStart w:id="16" w:name="_Toc162512848"/>
      <w:r w:rsidRPr="00B616D5">
        <w:t xml:space="preserve">Další </w:t>
      </w:r>
      <w:r>
        <w:t xml:space="preserve">nutné </w:t>
      </w:r>
      <w:r w:rsidRPr="00B616D5">
        <w:t>kroky pro nastavení systému</w:t>
      </w:r>
      <w:bookmarkEnd w:id="16"/>
    </w:p>
    <w:p w14:paraId="6BBF9A51" w14:textId="16552959" w:rsidR="00B616D5" w:rsidRDefault="00754C14" w:rsidP="003F0716">
      <w:pPr>
        <w:pStyle w:val="Odstavecseseznamem"/>
        <w:numPr>
          <w:ilvl w:val="0"/>
          <w:numId w:val="9"/>
        </w:numPr>
        <w:spacing w:after="120"/>
        <w:ind w:left="782"/>
        <w:contextualSpacing w:val="0"/>
      </w:pPr>
      <w:r>
        <w:t>M</w:t>
      </w:r>
      <w:r w:rsidR="00B616D5">
        <w:t>odifikace Strategického plánu ČR,</w:t>
      </w:r>
    </w:p>
    <w:p w14:paraId="5DD5A353" w14:textId="63C3E7FB" w:rsidR="00B616D5" w:rsidRDefault="00754C14" w:rsidP="003F0716">
      <w:pPr>
        <w:pStyle w:val="Odstavecseseznamem"/>
        <w:numPr>
          <w:ilvl w:val="0"/>
          <w:numId w:val="9"/>
        </w:numPr>
        <w:spacing w:after="120"/>
        <w:ind w:left="782"/>
        <w:contextualSpacing w:val="0"/>
        <w:jc w:val="both"/>
      </w:pPr>
      <w:r>
        <w:t>N</w:t>
      </w:r>
      <w:r w:rsidR="00B616D5">
        <w:t>astavení sankčních podmínek – konzultace s NNO a odpovědnými národními orgány,</w:t>
      </w:r>
    </w:p>
    <w:p w14:paraId="1C6E35DA" w14:textId="2FEA3ED6" w:rsidR="00B616D5" w:rsidRDefault="00754C14" w:rsidP="003F0716">
      <w:pPr>
        <w:pStyle w:val="Odstavecseseznamem"/>
        <w:numPr>
          <w:ilvl w:val="0"/>
          <w:numId w:val="9"/>
        </w:numPr>
        <w:spacing w:after="120"/>
        <w:ind w:left="782"/>
        <w:contextualSpacing w:val="0"/>
        <w:jc w:val="both"/>
      </w:pPr>
      <w:r>
        <w:t>S</w:t>
      </w:r>
      <w:r w:rsidR="00B616D5">
        <w:t xml:space="preserve">tanovení kompetencí </w:t>
      </w:r>
      <w:r w:rsidR="00860AC6">
        <w:t>a odpovědnosti</w:t>
      </w:r>
      <w:r w:rsidR="008E02A5">
        <w:t xml:space="preserve"> </w:t>
      </w:r>
      <w:r w:rsidR="00B616D5">
        <w:t>(</w:t>
      </w:r>
      <w:r w:rsidR="00B616D5" w:rsidRPr="00B616D5">
        <w:t>orgány a subjekty odpovědn</w:t>
      </w:r>
      <w:r w:rsidR="00B616D5">
        <w:t>é</w:t>
      </w:r>
      <w:r w:rsidR="00B616D5" w:rsidRPr="00B616D5">
        <w:t xml:space="preserve"> za prosazování sociálních a pracovních právních předpisů a pracovních norem a platební</w:t>
      </w:r>
      <w:r w:rsidR="00B616D5">
        <w:t xml:space="preserve"> </w:t>
      </w:r>
      <w:r w:rsidR="00B616D5" w:rsidRPr="00B616D5">
        <w:t>agentur</w:t>
      </w:r>
      <w:r w:rsidR="00B616D5">
        <w:t>y)</w:t>
      </w:r>
      <w:r w:rsidR="00780D81">
        <w:t>,</w:t>
      </w:r>
    </w:p>
    <w:p w14:paraId="35466B91" w14:textId="5B9B0529" w:rsidR="00B616D5" w:rsidRDefault="00754C14" w:rsidP="003F0716">
      <w:pPr>
        <w:pStyle w:val="Odstavecseseznamem"/>
        <w:numPr>
          <w:ilvl w:val="0"/>
          <w:numId w:val="9"/>
        </w:numPr>
        <w:spacing w:after="120"/>
        <w:ind w:left="782"/>
        <w:contextualSpacing w:val="0"/>
        <w:jc w:val="both"/>
      </w:pPr>
      <w:r>
        <w:t>I</w:t>
      </w:r>
      <w:r w:rsidR="00B616D5">
        <w:t>mplementace postupů, které budou dojednány, do národních právních předpisů,</w:t>
      </w:r>
    </w:p>
    <w:p w14:paraId="49BFF190" w14:textId="4E73972E" w:rsidR="00B616D5" w:rsidRPr="00B616D5" w:rsidRDefault="00754C14" w:rsidP="00B616D5">
      <w:pPr>
        <w:pStyle w:val="Odstavecseseznamem"/>
        <w:numPr>
          <w:ilvl w:val="0"/>
          <w:numId w:val="9"/>
        </w:numPr>
      </w:pPr>
      <w:r>
        <w:t>Z</w:t>
      </w:r>
      <w:r w:rsidR="00B616D5">
        <w:t>ajištění adaptace příslušných informačních systémů.</w:t>
      </w:r>
    </w:p>
    <w:sectPr w:rsidR="00B616D5" w:rsidRPr="00B616D5" w:rsidSect="00064CD6">
      <w:headerReference w:type="default" r:id="rId18"/>
      <w:footerReference w:type="default" r:id="rId1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F0A8E" w14:textId="77777777" w:rsidR="00CC75A4" w:rsidRDefault="00CC75A4" w:rsidP="00970302">
      <w:pPr>
        <w:spacing w:after="0" w:line="240" w:lineRule="auto"/>
      </w:pPr>
      <w:r>
        <w:separator/>
      </w:r>
    </w:p>
  </w:endnote>
  <w:endnote w:type="continuationSeparator" w:id="0">
    <w:p w14:paraId="5F90FD3C" w14:textId="77777777" w:rsidR="00CC75A4" w:rsidRDefault="00CC75A4" w:rsidP="0097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3907627"/>
      <w:docPartObj>
        <w:docPartGallery w:val="Page Numbers (Bottom of Page)"/>
        <w:docPartUnique/>
      </w:docPartObj>
    </w:sdtPr>
    <w:sdtEndPr/>
    <w:sdtContent>
      <w:p w14:paraId="04F0FC8A" w14:textId="7B9317E8" w:rsidR="00970302" w:rsidRDefault="0097030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2A5">
          <w:rPr>
            <w:noProof/>
          </w:rPr>
          <w:t>13</w:t>
        </w:r>
        <w:r>
          <w:fldChar w:fldCharType="end"/>
        </w:r>
      </w:p>
    </w:sdtContent>
  </w:sdt>
  <w:p w14:paraId="4B954DED" w14:textId="77777777" w:rsidR="00970302" w:rsidRDefault="009703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10005" w14:textId="77777777" w:rsidR="00CC75A4" w:rsidRDefault="00CC75A4" w:rsidP="00970302">
      <w:pPr>
        <w:spacing w:after="0" w:line="240" w:lineRule="auto"/>
      </w:pPr>
      <w:r>
        <w:separator/>
      </w:r>
    </w:p>
  </w:footnote>
  <w:footnote w:type="continuationSeparator" w:id="0">
    <w:p w14:paraId="4470E186" w14:textId="77777777" w:rsidR="00CC75A4" w:rsidRDefault="00CC75A4" w:rsidP="0097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7BA33" w14:textId="25D5CF04" w:rsidR="00970302" w:rsidRPr="00970302" w:rsidRDefault="00B72300" w:rsidP="00970302">
    <w:pPr>
      <w:pStyle w:val="Zhlav"/>
      <w:jc w:val="right"/>
      <w:rPr>
        <w:rFonts w:ascii="Arial" w:hAnsi="Arial" w:cs="Arial"/>
        <w:b/>
        <w:bCs/>
        <w:color w:val="A6A6A6" w:themeColor="background1" w:themeShade="A6"/>
        <w:spacing w:val="20"/>
      </w:rPr>
    </w:pPr>
    <w:r>
      <w:rPr>
        <w:rFonts w:ascii="Arial" w:hAnsi="Arial" w:cs="Arial"/>
        <w:b/>
        <w:bCs/>
        <w:color w:val="A6A6A6" w:themeColor="background1" w:themeShade="A6"/>
        <w:spacing w:val="20"/>
      </w:rPr>
      <w:t>Podklad pro PS MV_</w:t>
    </w:r>
    <w:r w:rsidR="00970302" w:rsidRPr="00970302">
      <w:rPr>
        <w:rFonts w:ascii="Arial" w:hAnsi="Arial" w:cs="Arial"/>
        <w:b/>
        <w:bCs/>
        <w:color w:val="A6A6A6" w:themeColor="background1" w:themeShade="A6"/>
        <w:spacing w:val="20"/>
      </w:rPr>
      <w:t>Sociální podmíněnost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4D14D0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27.75pt" o:bullet="t">
        <v:imagedata r:id="rId1" o:title="art9F0C"/>
      </v:shape>
    </w:pict>
  </w:numPicBullet>
  <w:abstractNum w:abstractNumId="0" w15:restartNumberingAfterBreak="0">
    <w:nsid w:val="01222805"/>
    <w:multiLevelType w:val="hybridMultilevel"/>
    <w:tmpl w:val="1EEA5FD8"/>
    <w:lvl w:ilvl="0" w:tplc="63F4EF8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B82D75"/>
    <w:multiLevelType w:val="hybridMultilevel"/>
    <w:tmpl w:val="D72C3EA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4037AB"/>
    <w:multiLevelType w:val="hybridMultilevel"/>
    <w:tmpl w:val="A09E7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689A"/>
    <w:multiLevelType w:val="hybridMultilevel"/>
    <w:tmpl w:val="657841B2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790D87"/>
    <w:multiLevelType w:val="hybridMultilevel"/>
    <w:tmpl w:val="3DAC483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793AD5"/>
    <w:multiLevelType w:val="hybridMultilevel"/>
    <w:tmpl w:val="FE7A1E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91E4E"/>
    <w:multiLevelType w:val="hybridMultilevel"/>
    <w:tmpl w:val="82EADF80"/>
    <w:lvl w:ilvl="0" w:tplc="CD30447E">
      <w:numFmt w:val="bullet"/>
      <w:lvlText w:val="-"/>
      <w:lvlJc w:val="left"/>
      <w:pPr>
        <w:ind w:left="2075" w:hanging="360"/>
      </w:pPr>
      <w:rPr>
        <w:rFonts w:ascii="Gill Sans MT" w:eastAsiaTheme="minorHAnsi" w:hAnsi="Gill Sans M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7" w15:restartNumberingAfterBreak="0">
    <w:nsid w:val="2D90234F"/>
    <w:multiLevelType w:val="hybridMultilevel"/>
    <w:tmpl w:val="DA663B06"/>
    <w:lvl w:ilvl="0" w:tplc="CD30447E">
      <w:numFmt w:val="bullet"/>
      <w:lvlText w:val="-"/>
      <w:lvlPicBulletId w:val="0"/>
      <w:lvlJc w:val="left"/>
      <w:pPr>
        <w:ind w:left="1353" w:hanging="360"/>
      </w:pPr>
      <w:rPr>
        <w:rFonts w:ascii="Gill Sans MT" w:eastAsiaTheme="minorHAnsi" w:hAnsi="Gill Sans MT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F2D08"/>
    <w:multiLevelType w:val="hybridMultilevel"/>
    <w:tmpl w:val="C674D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14A8F"/>
    <w:multiLevelType w:val="hybridMultilevel"/>
    <w:tmpl w:val="1674B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00524"/>
    <w:multiLevelType w:val="hybridMultilevel"/>
    <w:tmpl w:val="CB6ED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E4515"/>
    <w:multiLevelType w:val="hybridMultilevel"/>
    <w:tmpl w:val="FD60F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35472"/>
    <w:multiLevelType w:val="hybridMultilevel"/>
    <w:tmpl w:val="A92C6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45732"/>
    <w:multiLevelType w:val="hybridMultilevel"/>
    <w:tmpl w:val="6924E3A4"/>
    <w:lvl w:ilvl="0" w:tplc="8ECA84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45B1D"/>
    <w:multiLevelType w:val="hybridMultilevel"/>
    <w:tmpl w:val="445AB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77D46"/>
    <w:multiLevelType w:val="hybridMultilevel"/>
    <w:tmpl w:val="62EC61C8"/>
    <w:lvl w:ilvl="0" w:tplc="17BA8B02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F47AE"/>
    <w:multiLevelType w:val="hybridMultilevel"/>
    <w:tmpl w:val="54E69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85A4C"/>
    <w:multiLevelType w:val="hybridMultilevel"/>
    <w:tmpl w:val="E2E05094"/>
    <w:lvl w:ilvl="0" w:tplc="ACA6F0E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952515">
    <w:abstractNumId w:val="1"/>
  </w:num>
  <w:num w:numId="2" w16cid:durableId="330371437">
    <w:abstractNumId w:val="8"/>
  </w:num>
  <w:num w:numId="3" w16cid:durableId="55864102">
    <w:abstractNumId w:val="9"/>
  </w:num>
  <w:num w:numId="4" w16cid:durableId="1035960093">
    <w:abstractNumId w:val="12"/>
  </w:num>
  <w:num w:numId="5" w16cid:durableId="12389819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6101681">
    <w:abstractNumId w:val="17"/>
  </w:num>
  <w:num w:numId="7" w16cid:durableId="1778482920">
    <w:abstractNumId w:val="11"/>
  </w:num>
  <w:num w:numId="8" w16cid:durableId="916211794">
    <w:abstractNumId w:val="10"/>
  </w:num>
  <w:num w:numId="9" w16cid:durableId="566496246">
    <w:abstractNumId w:val="4"/>
  </w:num>
  <w:num w:numId="10" w16cid:durableId="5451990">
    <w:abstractNumId w:val="0"/>
  </w:num>
  <w:num w:numId="11" w16cid:durableId="2062319337">
    <w:abstractNumId w:val="15"/>
  </w:num>
  <w:num w:numId="12" w16cid:durableId="372577057">
    <w:abstractNumId w:val="7"/>
  </w:num>
  <w:num w:numId="13" w16cid:durableId="1121222100">
    <w:abstractNumId w:val="6"/>
  </w:num>
  <w:num w:numId="14" w16cid:durableId="423309759">
    <w:abstractNumId w:val="16"/>
  </w:num>
  <w:num w:numId="15" w16cid:durableId="608125467">
    <w:abstractNumId w:val="14"/>
  </w:num>
  <w:num w:numId="16" w16cid:durableId="1449810539">
    <w:abstractNumId w:val="2"/>
  </w:num>
  <w:num w:numId="17" w16cid:durableId="149100170">
    <w:abstractNumId w:val="5"/>
  </w:num>
  <w:num w:numId="18" w16cid:durableId="2112042437">
    <w:abstractNumId w:val="3"/>
  </w:num>
  <w:num w:numId="19" w16cid:durableId="7590605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4C"/>
    <w:rsid w:val="00035912"/>
    <w:rsid w:val="00047A53"/>
    <w:rsid w:val="00064CD6"/>
    <w:rsid w:val="00064E44"/>
    <w:rsid w:val="00071289"/>
    <w:rsid w:val="00073B82"/>
    <w:rsid w:val="000C634C"/>
    <w:rsid w:val="00103039"/>
    <w:rsid w:val="00185795"/>
    <w:rsid w:val="001A5242"/>
    <w:rsid w:val="001C4FEE"/>
    <w:rsid w:val="00276127"/>
    <w:rsid w:val="002B15D1"/>
    <w:rsid w:val="002B4398"/>
    <w:rsid w:val="002C3C73"/>
    <w:rsid w:val="002D6B4A"/>
    <w:rsid w:val="002F35F8"/>
    <w:rsid w:val="003202F9"/>
    <w:rsid w:val="003635D6"/>
    <w:rsid w:val="003831B7"/>
    <w:rsid w:val="003B5537"/>
    <w:rsid w:val="003C6D81"/>
    <w:rsid w:val="003C7CB3"/>
    <w:rsid w:val="003F0716"/>
    <w:rsid w:val="00416338"/>
    <w:rsid w:val="004537A3"/>
    <w:rsid w:val="004B49F0"/>
    <w:rsid w:val="00532F64"/>
    <w:rsid w:val="005B59CB"/>
    <w:rsid w:val="005B76BE"/>
    <w:rsid w:val="0060026E"/>
    <w:rsid w:val="00627037"/>
    <w:rsid w:val="006722A0"/>
    <w:rsid w:val="0068784D"/>
    <w:rsid w:val="006C2C66"/>
    <w:rsid w:val="006D32B8"/>
    <w:rsid w:val="006E4590"/>
    <w:rsid w:val="00754C14"/>
    <w:rsid w:val="00761C9E"/>
    <w:rsid w:val="00780D81"/>
    <w:rsid w:val="007B245C"/>
    <w:rsid w:val="007C384C"/>
    <w:rsid w:val="007C3AF1"/>
    <w:rsid w:val="007E67D5"/>
    <w:rsid w:val="00853E1D"/>
    <w:rsid w:val="00860AC6"/>
    <w:rsid w:val="008730AB"/>
    <w:rsid w:val="008776E1"/>
    <w:rsid w:val="00887014"/>
    <w:rsid w:val="008C2349"/>
    <w:rsid w:val="008E02A5"/>
    <w:rsid w:val="008E5A40"/>
    <w:rsid w:val="00970302"/>
    <w:rsid w:val="009D53D5"/>
    <w:rsid w:val="00A74A7A"/>
    <w:rsid w:val="00AB4925"/>
    <w:rsid w:val="00B45D88"/>
    <w:rsid w:val="00B45E5D"/>
    <w:rsid w:val="00B616D5"/>
    <w:rsid w:val="00B72300"/>
    <w:rsid w:val="00BD0D4D"/>
    <w:rsid w:val="00BD15EC"/>
    <w:rsid w:val="00BE2C9B"/>
    <w:rsid w:val="00BE43C4"/>
    <w:rsid w:val="00C46B6F"/>
    <w:rsid w:val="00CC75A4"/>
    <w:rsid w:val="00CF39A8"/>
    <w:rsid w:val="00D002B8"/>
    <w:rsid w:val="00D139B3"/>
    <w:rsid w:val="00D312A7"/>
    <w:rsid w:val="00D566FF"/>
    <w:rsid w:val="00E4505E"/>
    <w:rsid w:val="00E541C4"/>
    <w:rsid w:val="00EA2D69"/>
    <w:rsid w:val="00EE5691"/>
    <w:rsid w:val="00EF40F7"/>
    <w:rsid w:val="00EF718D"/>
    <w:rsid w:val="00F60C5E"/>
    <w:rsid w:val="00F85223"/>
    <w:rsid w:val="00F93601"/>
    <w:rsid w:val="00F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52F4B0"/>
  <w15:chartTrackingRefBased/>
  <w15:docId w15:val="{B4A20FD8-C4C1-45C0-9922-F94B5B83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D4D"/>
    <w:rPr>
      <w:rFonts w:ascii="Cambria" w:hAnsi="Cambr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245C"/>
    <w:pPr>
      <w:keepNext/>
      <w:keepLines/>
      <w:shd w:val="clear" w:color="auto" w:fill="FBE4D5" w:themeFill="accent2" w:themeFillTint="33"/>
      <w:spacing w:before="240" w:after="480"/>
      <w:outlineLvl w:val="0"/>
    </w:pPr>
    <w:rPr>
      <w:rFonts w:eastAsiaTheme="majorEastAsia" w:cstheme="majorBidi"/>
      <w:b/>
      <w:color w:val="C45911" w:themeColor="accent2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302"/>
    <w:pPr>
      <w:ind w:left="720"/>
      <w:contextualSpacing/>
    </w:pPr>
  </w:style>
  <w:style w:type="table" w:styleId="Mkatabulky">
    <w:name w:val="Table Grid"/>
    <w:basedOn w:val="Normlntabulka"/>
    <w:uiPriority w:val="39"/>
    <w:rsid w:val="0097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302"/>
  </w:style>
  <w:style w:type="paragraph" w:styleId="Zpat">
    <w:name w:val="footer"/>
    <w:basedOn w:val="Normln"/>
    <w:link w:val="ZpatChar"/>
    <w:uiPriority w:val="99"/>
    <w:unhideWhenUsed/>
    <w:rsid w:val="0097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0302"/>
  </w:style>
  <w:style w:type="character" w:styleId="Hypertextovodkaz">
    <w:name w:val="Hyperlink"/>
    <w:basedOn w:val="Standardnpsmoodstavce"/>
    <w:uiPriority w:val="99"/>
    <w:unhideWhenUsed/>
    <w:rsid w:val="00416338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3B8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B245C"/>
    <w:rPr>
      <w:rFonts w:ascii="Cambria" w:eastAsiaTheme="majorEastAsia" w:hAnsi="Cambria" w:cstheme="majorBidi"/>
      <w:b/>
      <w:color w:val="C45911" w:themeColor="accent2" w:themeShade="BF"/>
      <w:sz w:val="32"/>
      <w:szCs w:val="32"/>
      <w:shd w:val="clear" w:color="auto" w:fill="FBE4D5" w:themeFill="accent2" w:themeFillTint="33"/>
    </w:rPr>
  </w:style>
  <w:style w:type="paragraph" w:customStyle="1" w:styleId="Default">
    <w:name w:val="Default"/>
    <w:rsid w:val="003B5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7E67D5"/>
    <w:pPr>
      <w:shd w:val="clear" w:color="auto" w:fill="auto"/>
      <w:spacing w:after="0"/>
      <w:outlineLvl w:val="9"/>
    </w:pPr>
    <w:rPr>
      <w:rFonts w:asciiTheme="majorHAnsi" w:hAnsiTheme="majorHAnsi"/>
      <w:b w:val="0"/>
      <w:color w:val="2F5496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616D5"/>
    <w:pPr>
      <w:tabs>
        <w:tab w:val="right" w:leader="dot" w:pos="9346"/>
      </w:tabs>
      <w:spacing w:after="240"/>
    </w:pPr>
  </w:style>
  <w:style w:type="character" w:styleId="Sledovanodkaz">
    <w:name w:val="FollowedHyperlink"/>
    <w:basedOn w:val="Standardnpsmoodstavce"/>
    <w:uiPriority w:val="99"/>
    <w:semiHidden/>
    <w:unhideWhenUsed/>
    <w:rsid w:val="003635D6"/>
    <w:rPr>
      <w:color w:val="954F72" w:themeColor="followedHyperlink"/>
      <w:u w:val="single"/>
    </w:rPr>
  </w:style>
  <w:style w:type="paragraph" w:styleId="Bezmezer">
    <w:name w:val="No Spacing"/>
    <w:link w:val="BezmezerChar"/>
    <w:uiPriority w:val="1"/>
    <w:qFormat/>
    <w:rsid w:val="0007128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71289"/>
    <w:rPr>
      <w:rFonts w:eastAsiaTheme="minorEastAsia"/>
      <w:lang w:eastAsia="cs-CZ"/>
    </w:rPr>
  </w:style>
  <w:style w:type="paragraph" w:styleId="Revize">
    <w:name w:val="Revision"/>
    <w:hidden/>
    <w:uiPriority w:val="99"/>
    <w:semiHidden/>
    <w:rsid w:val="00780D81"/>
    <w:pPr>
      <w:spacing w:after="0" w:line="240" w:lineRule="auto"/>
    </w:pPr>
    <w:rPr>
      <w:rFonts w:ascii="Cambria" w:hAnsi="Cambri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10001993\Downloads\PSN_v3.2.pdf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reterurale.it/downloads/Piano_Strategico_della_PAC_23-27_v.2.1.pdf" TargetMode="Externa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.bml.gv.at/dam/jcr:ea385170-f6ef-437b-8865-782bd6257366/GAP_1_2.pdf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6C5101-CDC8-4BC6-9BF6-B7FBE778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3926</Words>
  <Characters>23165</Characters>
  <Application>Microsoft Office Word</Application>
  <DocSecurity>4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Pechačová Pavla</dc:creator>
  <cp:keywords/>
  <dc:description/>
  <cp:lastModifiedBy>Kristenová Marta</cp:lastModifiedBy>
  <cp:revision>2</cp:revision>
  <dcterms:created xsi:type="dcterms:W3CDTF">2024-03-28T09:27:00Z</dcterms:created>
  <dcterms:modified xsi:type="dcterms:W3CDTF">2024-03-28T09:27:00Z</dcterms:modified>
</cp:coreProperties>
</file>