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3A6F8" w14:textId="77777777" w:rsidR="00590C4F" w:rsidRPr="00590C4F" w:rsidRDefault="00590C4F" w:rsidP="00D35C5D">
      <w:pPr>
        <w:pStyle w:val="Nadpis1"/>
        <w:numPr>
          <w:ilvl w:val="0"/>
          <w:numId w:val="0"/>
        </w:numPr>
        <w:spacing w:before="120"/>
      </w:pPr>
      <w:bookmarkStart w:id="0" w:name="_Toc135304602"/>
      <w:bookmarkStart w:id="1" w:name="_Toc135304714"/>
      <w:bookmarkStart w:id="2" w:name="_Toc138062957"/>
      <w:r w:rsidRPr="00590C4F">
        <w:t>Zvýšené náklady na organizaci pastvy v oblastech s trvalým výskytem vlka obecného</w:t>
      </w:r>
    </w:p>
    <w:p w14:paraId="218491CF" w14:textId="77777777" w:rsidR="00616C5B" w:rsidRDefault="00616C5B" w:rsidP="00D35C5D">
      <w:pPr>
        <w:pStyle w:val="Nadpis1"/>
      </w:pPr>
      <w:bookmarkStart w:id="3" w:name="_Toc135304603"/>
      <w:bookmarkStart w:id="4" w:name="_Toc135304715"/>
      <w:bookmarkStart w:id="5" w:name="_Toc138062958"/>
      <w:bookmarkEnd w:id="0"/>
      <w:bookmarkEnd w:id="1"/>
      <w:bookmarkEnd w:id="2"/>
      <w:r>
        <w:t>Vyhodnocení dotazníku</w:t>
      </w:r>
      <w:bookmarkEnd w:id="3"/>
      <w:bookmarkEnd w:id="4"/>
      <w:bookmarkEnd w:id="5"/>
    </w:p>
    <w:p w14:paraId="75DA82BF" w14:textId="469D5A5D" w:rsidR="00616C5B" w:rsidRDefault="00616C5B" w:rsidP="00616C5B">
      <w:r>
        <w:t xml:space="preserve">Cílem dotazníku bylo stanovit výši obvyklých nákladů na organizaci pastvy u chovatelů hospodářských zvířat v oblastech </w:t>
      </w:r>
      <w:r w:rsidR="0003481B">
        <w:t xml:space="preserve">opakovaného </w:t>
      </w:r>
      <w:r>
        <w:t xml:space="preserve">výskytu vlka, respektive výši vícenákladů, které chovatelům plynou z důvodu náročnějšího hospodaření. </w:t>
      </w:r>
      <w:r w:rsidRPr="00317D12">
        <w:t>U</w:t>
      </w:r>
      <w:r>
        <w:t> </w:t>
      </w:r>
      <w:r w:rsidRPr="00317D12">
        <w:t>opatření</w:t>
      </w:r>
      <w:r>
        <w:t xml:space="preserve">, která se </w:t>
      </w:r>
      <w:r w:rsidRPr="00317D12">
        <w:t>vztahují k časové náročnosti</w:t>
      </w:r>
      <w:r>
        <w:t>,</w:t>
      </w:r>
      <w:r w:rsidRPr="00317D12">
        <w:t xml:space="preserve"> bylo cílem vztáhnout kalkulace k</w:t>
      </w:r>
      <w:r>
        <w:t> </w:t>
      </w:r>
      <w:r w:rsidRPr="00317D12">
        <w:t>1</w:t>
      </w:r>
      <w:r>
        <w:t xml:space="preserve"> VDJ (velké</w:t>
      </w:r>
      <w:r w:rsidRPr="00317D12">
        <w:t> </w:t>
      </w:r>
      <w:r>
        <w:t xml:space="preserve">dobytčí jednotce). Pro porovnání je však ve výsledcích uveden výpočet jak pro újmu vztaženou k chovaným zvířatům, tak k 1 hektaru pastviny. </w:t>
      </w:r>
    </w:p>
    <w:p w14:paraId="5608B608" w14:textId="77777777" w:rsidR="000A2D58" w:rsidRPr="000A2D58" w:rsidRDefault="000A2D58" w:rsidP="000A2D58">
      <w:pPr>
        <w:keepNext/>
        <w:ind w:firstLine="0"/>
      </w:pPr>
      <w:r w:rsidRPr="000A2D58">
        <w:rPr>
          <w:noProof/>
        </w:rPr>
        <w:drawing>
          <wp:inline distT="0" distB="0" distL="0" distR="0" wp14:anchorId="5624D9F8" wp14:editId="5ECAF1E2">
            <wp:extent cx="5753100" cy="4083050"/>
            <wp:effectExtent l="0" t="0" r="0" b="0"/>
            <wp:docPr id="375191389" name="Obrázek 375191389" descr="Obsah obrázku text, mapa, snímek obrazovky,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bsah obrázku text, mapa, snímek obrazovky, atlas&#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083050"/>
                    </a:xfrm>
                    <a:prstGeom prst="rect">
                      <a:avLst/>
                    </a:prstGeom>
                    <a:noFill/>
                    <a:ln>
                      <a:noFill/>
                    </a:ln>
                  </pic:spPr>
                </pic:pic>
              </a:graphicData>
            </a:graphic>
          </wp:inline>
        </w:drawing>
      </w:r>
    </w:p>
    <w:p w14:paraId="273C39BC" w14:textId="0D958C85" w:rsidR="000A2D58" w:rsidRPr="000A2D58" w:rsidRDefault="000A2D58" w:rsidP="000A2D58">
      <w:pPr>
        <w:pStyle w:val="Titulek"/>
        <w:spacing w:before="120"/>
      </w:pPr>
      <w:bookmarkStart w:id="6" w:name="_Ref134018435"/>
      <w:r w:rsidRPr="000A2D58">
        <w:t>Obr. </w:t>
      </w:r>
      <w:r w:rsidR="00F41AB0">
        <w:fldChar w:fldCharType="begin"/>
      </w:r>
      <w:r w:rsidR="00F41AB0">
        <w:instrText xml:space="preserve"> SEQ Obr. \* ARABIC </w:instrText>
      </w:r>
      <w:r w:rsidR="00F41AB0">
        <w:fldChar w:fldCharType="separate"/>
      </w:r>
      <w:r w:rsidRPr="000A2D58">
        <w:rPr>
          <w:noProof/>
        </w:rPr>
        <w:t>1</w:t>
      </w:r>
      <w:r w:rsidR="00F41AB0">
        <w:rPr>
          <w:noProof/>
        </w:rPr>
        <w:fldChar w:fldCharType="end"/>
      </w:r>
      <w:bookmarkEnd w:id="6"/>
      <w:r w:rsidRPr="000A2D58">
        <w:t xml:space="preserve"> Oblasti s opakovaným výskytem vlka obecného na území České republiky v roce 2023</w:t>
      </w:r>
    </w:p>
    <w:p w14:paraId="4C7F9931" w14:textId="77777777" w:rsidR="000A2D58" w:rsidRPr="000A2D58" w:rsidRDefault="000A2D58" w:rsidP="000A2D58">
      <w:pPr>
        <w:pStyle w:val="Zdroje"/>
        <w:spacing w:after="240"/>
      </w:pPr>
      <w:r w:rsidRPr="000A2D58">
        <w:t xml:space="preserve">Zdroj: </w:t>
      </w:r>
      <w:hyperlink r:id="rId11" w:history="1">
        <w:r w:rsidRPr="000A2D58">
          <w:t>https://mapy.nature.cz</w:t>
        </w:r>
      </w:hyperlink>
      <w:r w:rsidRPr="000A2D58">
        <w:t>, v sekci "podklady pro externí žádosti", vrstva "Výskyt vlka obecného"</w:t>
      </w:r>
    </w:p>
    <w:p w14:paraId="5AD6BD57" w14:textId="77777777" w:rsidR="00616C5B" w:rsidRDefault="00616C5B" w:rsidP="00EF651C">
      <w:pPr>
        <w:pStyle w:val="Nadpis2"/>
      </w:pPr>
      <w:bookmarkStart w:id="7" w:name="_Ref134694624"/>
      <w:bookmarkStart w:id="8" w:name="_Toc135304604"/>
      <w:bookmarkStart w:id="9" w:name="_Toc135304716"/>
      <w:bookmarkStart w:id="10" w:name="_Toc138062959"/>
      <w:r>
        <w:t>Metodika sběru dat a způsob výpočtu</w:t>
      </w:r>
      <w:bookmarkEnd w:id="7"/>
      <w:bookmarkEnd w:id="8"/>
      <w:bookmarkEnd w:id="9"/>
      <w:bookmarkEnd w:id="10"/>
    </w:p>
    <w:p w14:paraId="7B2A986E" w14:textId="77777777" w:rsidR="00616C5B" w:rsidRPr="00C20D71" w:rsidRDefault="00616C5B" w:rsidP="00616C5B">
      <w:r>
        <w:t>ÚZEI nedisponuje datovými podklady, ze kterých by bylo možné provést výpočet zvýšených nákladů na organizaci pastvy a z toho důvodu bylo nutné přistoupit k variantě zjišťování nákladů přímo u chovatelů hospodářských zvířat prostřednictvím dotazníku. Na základě pracovních jednání došlo ke shodě, že není účelné pouze aktualizovat částky z předchozího dotazníkového šetření (zaměřeného na sběr nákladů za rok 2019), neboť od té doby již chovatelé přistoupili k dalším opatřením. Odpovědi tak nereflektují současný stav vykonávaných činností. Nové dotazníkové šetření, v obdobném, ale rozšířeném znění, bylo provedeno v průběhu dubna 2023</w:t>
      </w:r>
      <w:r w:rsidRPr="000613F8">
        <w:t xml:space="preserve"> </w:t>
      </w:r>
      <w:r>
        <w:t>online formou. Znění tohoto dotazníku, přepsané do textové podoby dokumentu, je součástí přílohy výstupu.</w:t>
      </w:r>
    </w:p>
    <w:p w14:paraId="2C26AE65" w14:textId="2A74254C" w:rsidR="00616C5B" w:rsidRPr="004D519A" w:rsidRDefault="00616C5B" w:rsidP="00616C5B">
      <w:pPr>
        <w:spacing w:after="120"/>
      </w:pPr>
      <w:r>
        <w:lastRenderedPageBreak/>
        <w:t>Dotazník na zjišťování zvýšených nákladů na organizaci pastvy v oblastech s výskytem vlka obsahoval, kromě základních popisných údajů o</w:t>
      </w:r>
      <w:r w:rsidR="00142E5B">
        <w:t> </w:t>
      </w:r>
      <w:r>
        <w:t>respondentech, 4 níže uvedené tematické okruhy, přičemž každý respondent vyplňoval pouze tu část, kterou reálně provádí:</w:t>
      </w:r>
    </w:p>
    <w:p w14:paraId="62FD2B09" w14:textId="77777777" w:rsidR="00616C5B" w:rsidRDefault="00616C5B" w:rsidP="00616C5B">
      <w:pPr>
        <w:pStyle w:val="Odstavecseseznamem"/>
        <w:numPr>
          <w:ilvl w:val="0"/>
          <w:numId w:val="28"/>
        </w:numPr>
        <w:spacing w:before="0" w:after="120" w:line="276" w:lineRule="auto"/>
        <w:contextualSpacing/>
        <w:jc w:val="left"/>
      </w:pPr>
      <w:r>
        <w:t>časová náročnost na organizaci pastvy v případě použití ohradníku/oplocení,</w:t>
      </w:r>
    </w:p>
    <w:p w14:paraId="2568EA03" w14:textId="77777777" w:rsidR="00616C5B" w:rsidRDefault="00616C5B" w:rsidP="00616C5B">
      <w:pPr>
        <w:pStyle w:val="Odstavecseseznamem"/>
        <w:numPr>
          <w:ilvl w:val="0"/>
          <w:numId w:val="28"/>
        </w:numPr>
        <w:spacing w:before="0" w:after="120" w:line="276" w:lineRule="auto"/>
        <w:contextualSpacing/>
        <w:jc w:val="left"/>
      </w:pPr>
      <w:r>
        <w:t>časová náročnost na organizaci pastvy bez použití ohradníku/oplocení (tzv. volná pastva),</w:t>
      </w:r>
    </w:p>
    <w:p w14:paraId="44E64497" w14:textId="77777777" w:rsidR="00616C5B" w:rsidRDefault="00616C5B" w:rsidP="00616C5B">
      <w:pPr>
        <w:pStyle w:val="Odstavecseseznamem"/>
        <w:numPr>
          <w:ilvl w:val="0"/>
          <w:numId w:val="28"/>
        </w:numPr>
        <w:spacing w:before="0" w:after="120" w:line="276" w:lineRule="auto"/>
        <w:contextualSpacing/>
        <w:jc w:val="left"/>
      </w:pPr>
      <w:r>
        <w:t>náklady spojené s využíváním pasteveckého psa,</w:t>
      </w:r>
    </w:p>
    <w:p w14:paraId="50E223FB" w14:textId="77777777" w:rsidR="00616C5B" w:rsidRDefault="00616C5B" w:rsidP="00616C5B">
      <w:pPr>
        <w:pStyle w:val="Odstavecseseznamem"/>
        <w:numPr>
          <w:ilvl w:val="0"/>
          <w:numId w:val="28"/>
        </w:numPr>
        <w:spacing w:before="0" w:after="120" w:line="276" w:lineRule="auto"/>
        <w:ind w:left="1349" w:hanging="357"/>
        <w:jc w:val="left"/>
      </w:pPr>
      <w:r>
        <w:t>další provozní náklady spojené s přítomností vlka v pasené oblasti</w:t>
      </w:r>
    </w:p>
    <w:p w14:paraId="0E8B26D5" w14:textId="77777777" w:rsidR="00616C5B" w:rsidRPr="00872143" w:rsidRDefault="00616C5B" w:rsidP="00616C5B">
      <w:r w:rsidRPr="00872143">
        <w:t>Převážná část otázek byla rozdělena na období, kdy se vlk v okolí pastvin nevyskytoval, a na</w:t>
      </w:r>
      <w:r>
        <w:t> </w:t>
      </w:r>
      <w:r w:rsidRPr="00872143">
        <w:t>období současné (tedy s</w:t>
      </w:r>
      <w:r w:rsidRPr="00872143" w:rsidDel="00506C0F">
        <w:t> </w:t>
      </w:r>
      <w:r w:rsidRPr="00872143">
        <w:t>rizikem výskytu vlka v </w:t>
      </w:r>
      <w:r>
        <w:t>dané</w:t>
      </w:r>
      <w:r w:rsidRPr="00872143">
        <w:t xml:space="preserve"> oblasti). Předpokladem tedy bylo, že byl režim organizace pastvy v období před výskytem vlka trochu nebo výrazně odlišný než v současné době, a že byla tedy učiněna určitá opatření, která by riziku škod na hospodářských zvířatech měla předejít nebo je alespoň minimalizovat.</w:t>
      </w:r>
    </w:p>
    <w:p w14:paraId="0B5D7A45" w14:textId="261D7E54" w:rsidR="00616C5B" w:rsidRPr="00872143" w:rsidRDefault="00616C5B" w:rsidP="00616C5B">
      <w:r>
        <w:t>Některá</w:t>
      </w:r>
      <w:r w:rsidRPr="00872143">
        <w:t xml:space="preserve"> opatření tedy nebyla v období před výskytem vlka realizována chovateli vůbec nebo byla realizována s menší časovou náročností (např.</w:t>
      </w:r>
      <w:r w:rsidR="00722674">
        <w:t> </w:t>
      </w:r>
      <w:r w:rsidRPr="00872143">
        <w:t>kontroly elektrických ohradníků neprobíhaly tak často, nebyl pořízen pastevecký pes, zvířata byla ponechávána na pastvině běžně i</w:t>
      </w:r>
      <w:r>
        <w:t> </w:t>
      </w:r>
      <w:r w:rsidRPr="00872143">
        <w:t>v</w:t>
      </w:r>
      <w:r>
        <w:t> </w:t>
      </w:r>
      <w:r w:rsidRPr="00872143">
        <w:t>noci</w:t>
      </w:r>
      <w:r>
        <w:t xml:space="preserve"> a nebylo nutné je často přehánět</w:t>
      </w:r>
      <w:r w:rsidRPr="00872143">
        <w:t>, pastviny byly rozděleny jiným způsobem). V souvislosti s rozšiřujícím se územím výskytu vlka však farmář/chovatel mohl zavést určitá opatření, která mohou zvyšovat finanční náklady na celý chov a často nejsou právě z důvodu vyšší finanční náročnosti v plné míře realizována (např. </w:t>
      </w:r>
      <w:r w:rsidRPr="0031305C">
        <w:t>zajištění dalšího pracovníka – pastevce na pasení/hlídání ovcí</w:t>
      </w:r>
      <w:r w:rsidRPr="00872143">
        <w:t>). Cílem bylo</w:t>
      </w:r>
      <w:r w:rsidRPr="00872143" w:rsidDel="001777B3">
        <w:t xml:space="preserve"> </w:t>
      </w:r>
      <w:r w:rsidRPr="00872143">
        <w:t>provést porovnání časové náročnosti a vynaložených nákladů v době, kdy daná oblast pastvy nebyla ještě ohrožována útoky vlka s dobou, kdy již bylo nutné opatření na ochranu chovaných zvířat</w:t>
      </w:r>
      <w:r>
        <w:t xml:space="preserve"> realizovat</w:t>
      </w:r>
      <w:r w:rsidRPr="00872143">
        <w:t>.</w:t>
      </w:r>
    </w:p>
    <w:p w14:paraId="1C286815" w14:textId="77777777" w:rsidR="00616C5B" w:rsidRPr="002B1FED" w:rsidRDefault="00616C5B" w:rsidP="00616C5B">
      <w:r w:rsidRPr="00506C0F">
        <w:t>V</w:t>
      </w:r>
      <w:r>
        <w:t> </w:t>
      </w:r>
      <w:r w:rsidRPr="00506C0F">
        <w:t>dotazníku nebyly zjišťovány náklady investičního charakteru (např.</w:t>
      </w:r>
      <w:r>
        <w:t> </w:t>
      </w:r>
      <w:r w:rsidRPr="00506C0F">
        <w:t>nákup ohradníku</w:t>
      </w:r>
      <w:r>
        <w:t>, zakoupení pasteveckého psa</w:t>
      </w:r>
      <w:r w:rsidRPr="00506C0F">
        <w:t>) a nebyly řešeny ani škody</w:t>
      </w:r>
      <w:r>
        <w:t xml:space="preserve"> způsobené vlkem na hospodářských zvířatech</w:t>
      </w:r>
      <w:r w:rsidRPr="00506C0F">
        <w:t xml:space="preserve">. Za „současné období“ byl v dotazníku považován </w:t>
      </w:r>
      <w:r>
        <w:t>n</w:t>
      </w:r>
      <w:r w:rsidRPr="00506C0F">
        <w:t>ejaktuálnější ukončený rok, tj</w:t>
      </w:r>
      <w:r>
        <w:t>. </w:t>
      </w:r>
      <w:r w:rsidRPr="00506C0F">
        <w:t>20</w:t>
      </w:r>
      <w:r>
        <w:t>22, případně poslední ukončený hospodářský rok.</w:t>
      </w:r>
    </w:p>
    <w:p w14:paraId="552DBE40" w14:textId="356EB9BC" w:rsidR="00616C5B" w:rsidRDefault="00616C5B" w:rsidP="00616C5B">
      <w:r>
        <w:t xml:space="preserve">S údaji získanými z dotazníků bylo pracováno v dobré víře, co se týká správnosti vyplněných údajů, neboť ÚZEI neměl přístup do účetnictví jednotlivých respondentů ani k jiným podkladům, které by dokládaly reálnost </w:t>
      </w:r>
      <w:r w:rsidRPr="00987776">
        <w:t xml:space="preserve">vyplněných </w:t>
      </w:r>
      <w:r>
        <w:t>hodnot.</w:t>
      </w:r>
      <w:r w:rsidRPr="00987776">
        <w:t xml:space="preserve"> Při výpočtech však byly využity metody, které by případný vliv </w:t>
      </w:r>
      <w:r>
        <w:t>odlehlých</w:t>
      </w:r>
      <w:r w:rsidRPr="00987776">
        <w:t xml:space="preserve"> hodnot (</w:t>
      </w:r>
      <w:r>
        <w:t>extrémně</w:t>
      </w:r>
      <w:r w:rsidRPr="00987776">
        <w:t xml:space="preserve"> nízké nebo vysoké odhady časové náročnosti nebo odhady nákladových položek) měly co nejvíce eliminovat.</w:t>
      </w:r>
      <w:r>
        <w:t xml:space="preserve"> Z důvodu přítomnosti hodnot (nákladových položek nebo odhadu časové náročnosti), které působily jako podhodnocené nebo naopak velmi nadhodnocené, byl při výpočtech využíván výpočet useknutého průměru. Tento</w:t>
      </w:r>
      <w:r w:rsidRPr="003C5B26" w:rsidDel="000E1F17">
        <w:t xml:space="preserve"> </w:t>
      </w:r>
      <w:r>
        <w:t>výpočet</w:t>
      </w:r>
      <w:r w:rsidRPr="003C5B26">
        <w:t xml:space="preserve"> určuje střední hodnotu tak, že odřízne daný počet dat z nejvyšších a nejnižších hodnot souboru. Tato funkce se používá v případě, že </w:t>
      </w:r>
      <w:r>
        <w:t>cílem je</w:t>
      </w:r>
      <w:r w:rsidRPr="003C5B26">
        <w:t xml:space="preserve"> z analýzy vyloučit </w:t>
      </w:r>
      <w:r>
        <w:t>tzv. </w:t>
      </w:r>
      <w:r w:rsidRPr="003C5B26">
        <w:t>vzdálená data</w:t>
      </w:r>
      <w:r>
        <w:t xml:space="preserve"> (odlehlé hodnoty)</w:t>
      </w:r>
      <w:r w:rsidRPr="003C5B26">
        <w:t>.</w:t>
      </w:r>
      <w:r>
        <w:t xml:space="preserve"> Z jednotlivých ukazatelů, které respondenti ve svých odpovědích uváděli, bylo odstraněno určité procento odlehlých hodnot, které se odvíjelo od počtu odpovědí na danou otázku (snahou bylo odstranit tedy jen přiměřené množství hodnot). U některých nákladových položek jsou pak uvedeny i rozsahy hodnot, které respondenti v odpovědích uváděli. „Odlehlé“ hodnoty (příliš nízké nebo vysoké údaje) nejsou do výpočtů průměrných hodnot zahrnuty. V textu jsou tyto</w:t>
      </w:r>
      <w:r w:rsidDel="00F70D6A">
        <w:t xml:space="preserve"> </w:t>
      </w:r>
      <w:r>
        <w:t>uvedeny spíše pro představu, jak velmi rozdílné vynaložené náklady respondenti uváděli. Někteří v dotazníku zmínili, že uvedená časová náročnost a další hodnoty mohou být ovlivněny i</w:t>
      </w:r>
      <w:r w:rsidR="00B322F1">
        <w:t> </w:t>
      </w:r>
      <w:r>
        <w:t xml:space="preserve">náročností terénu (vysokou svažitostí, členitostí aj.), ale tyto jsou jim kompenzovány z jiných prostředků, prostřednictvím plateb ANC, do kterých spadá téměř veškerá výměra, kde daní respondenti hospodaří. Dá se tedy říci, že „ztížené“ hospodaření způsobené podmínkami mají téměř všichni dotazovaní a výsledky (byť s využitím useknutého průměru) toto zohledňují. Navíc s ohledem </w:t>
      </w:r>
      <w:r>
        <w:lastRenderedPageBreak/>
        <w:t>na skutečnost, že existuje tzv. pravidlo dvojího financování a</w:t>
      </w:r>
      <w:r w:rsidR="00B322F1">
        <w:t> </w:t>
      </w:r>
      <w:r>
        <w:t>totožná činnost nemůže být kompenzována vícekrát, bylo by chybné ho zohlednit.</w:t>
      </w:r>
    </w:p>
    <w:p w14:paraId="56E8882C" w14:textId="247899E3" w:rsidR="00616C5B" w:rsidRDefault="00616C5B" w:rsidP="00616C5B">
      <w:r>
        <w:t>Výpočet je postaven na porovnání výše nákladů v období, kdy se v</w:t>
      </w:r>
      <w:r w:rsidR="00A64C66">
        <w:t> </w:t>
      </w:r>
      <w:r>
        <w:t>dotčené oblasti vlk obecný nevyskytoval a v období, kdy je riziko jeho výskytu aktuální a chovatelé jsou tak nuceni učinit v organizaci pastvy určitá opatření, aby zamezili útokům na chovaná zvířata. Při výpočtu byly zohledněny jednak vyšší náklady vynaložené na časovou organizaci pastvy (ať už zvýšenou potřebou času při kontrole a hlídání stáda, kontrole oplocení, času stráveného přeháněním zvířat aj.), jednak dodatečné náklady, které chovatelům vznikají právě z důvodu výskytu vlka v pasené oblasti (tj. nutnost pořízení pasteveckého psa a s</w:t>
      </w:r>
      <w:r w:rsidR="0039757D">
        <w:t> </w:t>
      </w:r>
      <w:r>
        <w:t>tím související náklady na jeho “provoz” – tedy náklady na krmiva, běžnou veterinární péči aj.).</w:t>
      </w:r>
    </w:p>
    <w:p w14:paraId="31BCE18B" w14:textId="1DA06F30" w:rsidR="00616C5B" w:rsidRDefault="00616C5B" w:rsidP="00616C5B">
      <w:r>
        <w:t>Výpočet je u pastvy s využitím určitého druhu oplocení rozdělen na dílčí části podle typů opatření, která je možno právě kvůli výskytu vlka v dotčené oblasti provádět.</w:t>
      </w:r>
      <w:r w:rsidDel="00874458">
        <w:t xml:space="preserve"> </w:t>
      </w:r>
      <w:r>
        <w:t>Respondenti uváděli časovou náročnost, která jim u jednotlivých opatření vznikala v minulosti a poté informaci, jak se tento časový údaj změnil právě z důvodu výskytu vlka, přičemž uváděli časový údaj vztažený na hodinu a</w:t>
      </w:r>
      <w:r w:rsidR="00707C7C">
        <w:t> </w:t>
      </w:r>
      <w:r>
        <w:t>poté na počet dnů, kdy tuto činnost vykonávají, případně na celý rok. Tyto informace byly následně přepočítány na velkou dobytčí jednotku a také na výměru pastvin, aby bylo možné jednotlivé údaje mezi sebou porovnávat. Získaný časový rozdíl byl poté oceněn hodinovou mzdou, přičemž pro výpočet nákladů na hodinu práce byla použita jako výchozí data ČSÚ, konkrétně „Počet zaměstnanců a průměrné hrubé měsíční mzdy podle odvětví (sekce CZ-NACE Zemědělství, lesnictví a rybářství)“ za rok 2022. Hodinová sazba byla stanovena takto: průměrná hrubá měsíční mzda v Kč děleno placený čas v hodinách za měsíc krát koeficient pro vyjádření nákladů zaměstnavatele na zaměstnance (ve výši 1,338), tj. 32 191 Kč / 173 hod × 1,338 = 248,49 Kč/hod. Pro porovnání byla hodinová mzda též zjišťována v rámci dotazníkového šetření u samotných chovatelů, a to vždy u jednotlivých činností. Na otázky ohledně výše hodinové mzdy bylo získáno celkem 269 odpovědí</w:t>
      </w:r>
      <w:r>
        <w:rPr>
          <w:rStyle w:val="Znakapoznpodarou"/>
        </w:rPr>
        <w:footnoteReference w:id="2"/>
      </w:r>
      <w:r>
        <w:t xml:space="preserve"> a nejčastěji byla uváděna hodinová mzda ve výši 300 Kč/hod. Tato částka je současně i střední hodnotou všech uvedených údajů v šetření. Odpovědi respondentů ohledně výše mzdy však byly velmi rozptýleny, pohybovaly se od nuly (kdy vykonává člověk danou činnost dobrovolně bez úplaty) až po částku patnáct set korun za hodinu práce. Tyto odchylky jsou způsobeny také tím, zda danou činnost vykonávají sami chovatelé, případně je pro ně provádějí jiné osoby – zaměstnanci, pracovníci na dohodu, či jak již bylo zmíněno, může se jednat také o práci bez nároku na mzdu, ale také o práci vykonávanou službou, kdy je cena za hodinu práce poté násobně vyšší.</w:t>
      </w:r>
    </w:p>
    <w:p w14:paraId="36255801" w14:textId="77777777" w:rsidR="00616C5B" w:rsidRDefault="00616C5B" w:rsidP="00616C5B">
      <w:r>
        <w:t>V případě volné pastvy, tedy pastvy bez využití ohradníků, je rozdíl v časové náročnosti na přítomnost pastevce v období před vlkem a v současnosti rovněž ohodnocen hodinovou mzdou</w:t>
      </w:r>
      <w:r w:rsidRPr="00D86A93">
        <w:t xml:space="preserve"> </w:t>
      </w:r>
      <w:r>
        <w:t>dle ČSÚ z roku 2022 a následně je tento rozdíl vyjádřen jednak v přepočtu na 1 VDJ, jednak na 1 ha pastviny.</w:t>
      </w:r>
    </w:p>
    <w:p w14:paraId="51ADF548" w14:textId="364A1E24" w:rsidR="00616C5B" w:rsidRDefault="00616C5B" w:rsidP="00616C5B">
      <w:r>
        <w:t>Odděleně jsou poté vyčísleny náklady na pasteveckého psa, které jsou také rozčleněny dle typu vynaložených provozních ročních nákladů na jednoho psa a na jeden rok, případně časové náročnosti, která chovatelům vzniká opět ve vztahu k 1 psovi v rámci jednoho roku. Čas byl rovněž ve výpočtu oceněn pomocí hodinové mzdy dle ČSÚ z roku 2022. Jednotlivé náklady jsou uvedeny také v přepočtu na 1 velkou dobytčí jednotku, případně na výměru pastviny.</w:t>
      </w:r>
      <w:r w:rsidR="002371B3">
        <w:t xml:space="preserve"> </w:t>
      </w:r>
    </w:p>
    <w:p w14:paraId="19A7999C" w14:textId="77777777" w:rsidR="00616C5B" w:rsidRDefault="00616C5B" w:rsidP="00616C5B">
      <w:r>
        <w:t>Jednotlivé údaje popsané dále v textu představují průměrné hodnoty údajů od respondentů, kteří danou část dotazníku zodpověděli. Průměr byl vypočítán s vyloučením odlehlých hodnot, aby byly eliminovány subjekty, jejichž údaje jsou od střední hodnoty celého souboru nejvíce vzdáleny.</w:t>
      </w:r>
    </w:p>
    <w:p w14:paraId="4DBCAFF7" w14:textId="77777777" w:rsidR="00616C5B" w:rsidRDefault="00616C5B" w:rsidP="00EF651C">
      <w:pPr>
        <w:pStyle w:val="Nadpis2"/>
      </w:pPr>
      <w:bookmarkStart w:id="11" w:name="_Toc122101441"/>
      <w:bookmarkStart w:id="12" w:name="_Toc135304605"/>
      <w:bookmarkStart w:id="13" w:name="_Toc135304717"/>
      <w:bookmarkStart w:id="14" w:name="_Toc138062960"/>
      <w:r>
        <w:lastRenderedPageBreak/>
        <w:t>Základní statistika respondentů dotazníkového šetření</w:t>
      </w:r>
      <w:bookmarkEnd w:id="11"/>
      <w:bookmarkEnd w:id="12"/>
      <w:bookmarkEnd w:id="13"/>
      <w:bookmarkEnd w:id="14"/>
    </w:p>
    <w:p w14:paraId="5AB77CB5" w14:textId="77777777" w:rsidR="00616C5B" w:rsidRDefault="00616C5B" w:rsidP="00616C5B">
      <w:r>
        <w:t xml:space="preserve">Do dotazníkového šetření se zapojilo 59 respondentů. Jejich celková výměra, na které provádějí pastvu, činí 2 654 ha. Z toho, dle údajů v dotazníku, na 88,3 % (2 346 ha) respondenti provádějí opatření, která by měla zabránit riziku útoku vlka. V porovnání s daty z LPIS (z roku 2022) představuje uvedená celková výměra pasených pozemků celkem 67,4 % z celkové výměry, kterou mají respondenti na sebe evidovánu. </w:t>
      </w:r>
    </w:p>
    <w:p w14:paraId="4C380DC2" w14:textId="5F1E350C" w:rsidR="00616C5B" w:rsidRDefault="00616C5B" w:rsidP="00616C5B">
      <w:r>
        <w:t xml:space="preserve">Na základě údajů z LPIS k roku 2022 jich nejvíce hospodaří v Královéhradeckém kraji (37,0 %, 1 459 ha), konkrétně v okrese Náchod (26,4 %, 1 042 ha). Druhá největší výměra je zastoupena v Jihočeském kraji (26,6 %, 1 047 ha) a největší výměra zde spadá do okresu Český Krumlov (15,6 %, 616 ha). Všechna respondenty obhospodařovaná území se nacházejí přímo v oblastech, kde se vlk obecný trvale vyskytuje. Žádný z chovatelů v Karlovarském a Olomouckém kraji dotazník nevyplnil, přestože </w:t>
      </w:r>
      <w:r w:rsidR="007B5046">
        <w:t>se jedná také o</w:t>
      </w:r>
      <w:r w:rsidR="00850D1C">
        <w:t> </w:t>
      </w:r>
      <w:r w:rsidR="007B5046">
        <w:t>oblasti opakovaného výskytu vlka</w:t>
      </w:r>
      <w:r>
        <w:t>.</w:t>
      </w:r>
    </w:p>
    <w:p w14:paraId="5AA586DA" w14:textId="77777777" w:rsidR="00735AED" w:rsidRDefault="00735AED" w:rsidP="00616C5B"/>
    <w:p w14:paraId="1D74BBCC" w14:textId="662BB1D8" w:rsidR="00616C5B" w:rsidRDefault="007C08D1" w:rsidP="00616C5B">
      <w:pPr>
        <w:keepNext/>
        <w:ind w:firstLine="0"/>
      </w:pPr>
      <w:r>
        <w:rPr>
          <w:noProof/>
        </w:rPr>
        <w:drawing>
          <wp:inline distT="0" distB="0" distL="0" distR="0" wp14:anchorId="6D0C5134" wp14:editId="32234BD1">
            <wp:extent cx="5753100" cy="3841750"/>
            <wp:effectExtent l="0" t="0" r="0" b="6350"/>
            <wp:docPr id="6" name="Obrázek 6"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mapa&#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16"/>
                    <a:stretch/>
                  </pic:blipFill>
                  <pic:spPr bwMode="auto">
                    <a:xfrm>
                      <a:off x="0" y="0"/>
                      <a:ext cx="5753100" cy="3841750"/>
                    </a:xfrm>
                    <a:prstGeom prst="rect">
                      <a:avLst/>
                    </a:prstGeom>
                    <a:noFill/>
                    <a:ln>
                      <a:noFill/>
                    </a:ln>
                    <a:extLst>
                      <a:ext uri="{53640926-AAD7-44D8-BBD7-CCE9431645EC}">
                        <a14:shadowObscured xmlns:a14="http://schemas.microsoft.com/office/drawing/2010/main"/>
                      </a:ext>
                    </a:extLst>
                  </pic:spPr>
                </pic:pic>
              </a:graphicData>
            </a:graphic>
          </wp:inline>
        </w:drawing>
      </w:r>
    </w:p>
    <w:p w14:paraId="22553F4D" w14:textId="567439AC" w:rsidR="00616C5B" w:rsidRDefault="00616C5B" w:rsidP="00616C5B">
      <w:pPr>
        <w:pStyle w:val="Titulek"/>
        <w:spacing w:before="0"/>
        <w:jc w:val="both"/>
      </w:pPr>
      <w:bookmarkStart w:id="15" w:name="_Toc138062254"/>
      <w:r>
        <w:t>Obr. </w:t>
      </w:r>
      <w:r w:rsidR="00F41AB0">
        <w:fldChar w:fldCharType="begin"/>
      </w:r>
      <w:r w:rsidR="00F41AB0">
        <w:instrText xml:space="preserve"> SEQ Obr. \* ARABIC </w:instrText>
      </w:r>
      <w:r w:rsidR="00F41AB0">
        <w:fldChar w:fldCharType="separate"/>
      </w:r>
      <w:r w:rsidR="00850D1C">
        <w:rPr>
          <w:noProof/>
        </w:rPr>
        <w:t>2</w:t>
      </w:r>
      <w:r w:rsidR="00F41AB0">
        <w:rPr>
          <w:noProof/>
        </w:rPr>
        <w:fldChar w:fldCharType="end"/>
      </w:r>
      <w:r>
        <w:t xml:space="preserve"> Obce, ve kterých respondenti hospodaří a překryv s </w:t>
      </w:r>
      <w:r w:rsidR="00297693">
        <w:t>oblastí opakovaného</w:t>
      </w:r>
      <w:r>
        <w:t xml:space="preserve"> </w:t>
      </w:r>
      <w:r w:rsidR="00297693">
        <w:t xml:space="preserve">výskytu </w:t>
      </w:r>
      <w:r>
        <w:t>vlka</w:t>
      </w:r>
      <w:bookmarkEnd w:id="15"/>
      <w:r w:rsidRPr="00CA38FF">
        <w:rPr>
          <w:noProof/>
        </w:rPr>
        <w:t xml:space="preserve"> </w:t>
      </w:r>
    </w:p>
    <w:p w14:paraId="3B6A3DAC" w14:textId="77777777" w:rsidR="00616C5B" w:rsidRDefault="00616C5B" w:rsidP="00616C5B">
      <w:pPr>
        <w:pStyle w:val="Zdroje"/>
        <w:spacing w:after="240"/>
      </w:pPr>
      <w:r>
        <w:t>Zdroj: LPIS 2022,</w:t>
      </w:r>
      <w:r w:rsidRPr="00DC7786">
        <w:t xml:space="preserve"> </w:t>
      </w:r>
      <w:r>
        <w:t>AOPK 2023, Dotazníkové šetření u chovatelů hospodářských zvířat v oblastech s výskytem vlka, ÚZEI 2023</w:t>
      </w:r>
    </w:p>
    <w:p w14:paraId="75CCBB02" w14:textId="77777777" w:rsidR="00616C5B" w:rsidRDefault="00616C5B" w:rsidP="00616C5B">
      <w:r>
        <w:t xml:space="preserve">Současně se většina obhospodařovaných ploch nachází uvnitř nebo v blízkosti zvláště chráněných území, často v horách či podhůří, kde vyšší sklonitost komplikuje ochranu zvířat. Zároveň jsou to však pozemky, jejichž údržba je z důvodů vyšší sklonitosti terénu, jeho členitosti aj., obtížné obhospodařovat obvyklým způsobem (tedy běžnou mechanizací) a jsou to tedy typicky oblasti, kde se nachází většina chovatelů ovcí a koz. Travní porosty v těchto oblastech jsou tedy převážně spásány. Odpovídá tomu také zařazení těchto ploch do oblastí s přírodními a jinými omezeními, tzv. ANC, kam spadá na 94,1 % veškeré výměry evidované v LPIS na jednotlivé respondenty. Z toho největší zastoupení (68,2 %) je v oblastech horských, které jsou charakterizovány vyšší nadmořskou výškou, </w:t>
      </w:r>
      <w:r>
        <w:lastRenderedPageBreak/>
        <w:t>nebo vyšší nadmořskou výškou v kombinaci se svažitými pozemky. Následují oblasti ostatní (31,4 %), které jsou vymezeny na základě jednotných, Evropskou komisí definovaných, přírodních omezení (tzv. biofyzikálních kritérií). V minimální míře jsou poté zastoupeny specifické oblasti (0,4 %), které jsou charakterizovány nižší výnosností zemědělské půdy a nenacházejí se ani v horských ani v ostatních ANC.</w:t>
      </w:r>
    </w:p>
    <w:p w14:paraId="4A2F3F86" w14:textId="1166A133" w:rsidR="00616C5B" w:rsidRDefault="009B4937" w:rsidP="00616C5B">
      <w:pPr>
        <w:keepNext/>
        <w:ind w:firstLine="0"/>
      </w:pPr>
      <w:r>
        <w:rPr>
          <w:noProof/>
        </w:rPr>
        <w:drawing>
          <wp:inline distT="0" distB="0" distL="0" distR="0" wp14:anchorId="34DEED40" wp14:editId="3A61EACE">
            <wp:extent cx="5760720" cy="3872865"/>
            <wp:effectExtent l="0" t="0" r="0" b="0"/>
            <wp:docPr id="788900276" name="Obrázek 788900276"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00276" name="Obrázek 788900276" descr="Obsah obrázku mapa, text, atlas&#10;&#10;Popis byl vytvořen automatick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11"/>
                    <a:stretch/>
                  </pic:blipFill>
                  <pic:spPr bwMode="auto">
                    <a:xfrm>
                      <a:off x="0" y="0"/>
                      <a:ext cx="5760720" cy="3872865"/>
                    </a:xfrm>
                    <a:prstGeom prst="rect">
                      <a:avLst/>
                    </a:prstGeom>
                    <a:noFill/>
                    <a:ln>
                      <a:noFill/>
                    </a:ln>
                    <a:extLst>
                      <a:ext uri="{53640926-AAD7-44D8-BBD7-CCE9431645EC}">
                        <a14:shadowObscured xmlns:a14="http://schemas.microsoft.com/office/drawing/2010/main"/>
                      </a:ext>
                    </a:extLst>
                  </pic:spPr>
                </pic:pic>
              </a:graphicData>
            </a:graphic>
          </wp:inline>
        </w:drawing>
      </w:r>
    </w:p>
    <w:p w14:paraId="11A4E501" w14:textId="471F86EB" w:rsidR="00616C5B" w:rsidRPr="00DC73BA" w:rsidRDefault="00616C5B" w:rsidP="00616C5B">
      <w:pPr>
        <w:pStyle w:val="Titulek"/>
        <w:spacing w:before="120"/>
        <w:jc w:val="both"/>
      </w:pPr>
      <w:bookmarkStart w:id="16" w:name="_Toc138062255"/>
      <w:r>
        <w:t>Obr. </w:t>
      </w:r>
      <w:r w:rsidR="00F41AB0">
        <w:fldChar w:fldCharType="begin"/>
      </w:r>
      <w:r w:rsidR="00F41AB0">
        <w:instrText xml:space="preserve"> SEQ Obr. \* ARABIC </w:instrText>
      </w:r>
      <w:r w:rsidR="00F41AB0">
        <w:fldChar w:fldCharType="separate"/>
      </w:r>
      <w:r w:rsidR="00486DB8">
        <w:rPr>
          <w:noProof/>
        </w:rPr>
        <w:t>2</w:t>
      </w:r>
      <w:r w:rsidR="00F41AB0">
        <w:rPr>
          <w:noProof/>
        </w:rPr>
        <w:fldChar w:fldCharType="end"/>
      </w:r>
      <w:r>
        <w:t xml:space="preserve"> Obce, ve kterých respondenti hospodaří a překryv s oblastmi ANC a oblastmi </w:t>
      </w:r>
      <w:r w:rsidR="00297693">
        <w:t>opakovaného</w:t>
      </w:r>
      <w:r>
        <w:t xml:space="preserve"> </w:t>
      </w:r>
      <w:r w:rsidR="00297693">
        <w:t xml:space="preserve">výskytu </w:t>
      </w:r>
      <w:r>
        <w:t>vlka obecného</w:t>
      </w:r>
      <w:bookmarkEnd w:id="16"/>
    </w:p>
    <w:p w14:paraId="7DF20B5C" w14:textId="77777777" w:rsidR="00616C5B" w:rsidRDefault="00616C5B" w:rsidP="00616C5B">
      <w:pPr>
        <w:pStyle w:val="Zdroje"/>
        <w:spacing w:after="240"/>
      </w:pPr>
      <w:r>
        <w:t>Zdroj: LPIS 2022, AOPK 2023, Dotazníkové šetření u chovatelů hospodářských zvířat v oblastech s výskytem vlka, ÚZEI 2023</w:t>
      </w:r>
    </w:p>
    <w:p w14:paraId="49AACADF" w14:textId="77777777" w:rsidR="00616C5B" w:rsidRDefault="00616C5B" w:rsidP="00616C5B">
      <w:r>
        <w:t>Průměrná výměra pasených pozemků zúčastněných respondentů je dle vyplněných údajů v dotazníku 45 ha na respondenta, z toho průměrně na téměř 40 ha (88,4 %) jsou prováděna opatření, která snižují riziko útoku vlka. Celkem 39 dotazovaných uvedlo, že má zabezpečených celých 100 % pasených ploch, zbytek se pohybuje v intervalu 18–96 %. Celkem jsou opatření aplikována, dle údajů respondentů v šetření, na výměře 2 346 ha</w:t>
      </w:r>
      <w:r w:rsidDel="00CC5694">
        <w:t>.</w:t>
      </w:r>
    </w:p>
    <w:p w14:paraId="3835AFFE" w14:textId="77777777" w:rsidR="00616C5B" w:rsidRDefault="00616C5B" w:rsidP="00616C5B">
      <w:pPr>
        <w:keepNext/>
        <w:ind w:firstLine="0"/>
      </w:pPr>
      <w:r>
        <w:rPr>
          <w:noProof/>
        </w:rPr>
        <w:lastRenderedPageBreak/>
        <w:drawing>
          <wp:inline distT="0" distB="0" distL="0" distR="0" wp14:anchorId="218FCE0B" wp14:editId="24E02E33">
            <wp:extent cx="5760000" cy="2743200"/>
            <wp:effectExtent l="0" t="0" r="0" b="0"/>
            <wp:docPr id="741087568" name="Graf 6">
              <a:extLst xmlns:a="http://schemas.openxmlformats.org/drawingml/2006/main">
                <a:ext uri="{FF2B5EF4-FFF2-40B4-BE49-F238E27FC236}">
                  <a16:creationId xmlns:a16="http://schemas.microsoft.com/office/drawing/2014/main" id="{73A621D7-E595-9772-AF08-7248676AC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AD7B16" w14:textId="6210D8B1" w:rsidR="00616C5B" w:rsidRDefault="00616C5B" w:rsidP="00616C5B">
      <w:pPr>
        <w:pStyle w:val="Titulek"/>
        <w:spacing w:before="120"/>
        <w:jc w:val="both"/>
      </w:pPr>
      <w:bookmarkStart w:id="17" w:name="_Toc138062256"/>
      <w:r>
        <w:t>Obr. </w:t>
      </w:r>
      <w:r w:rsidR="00F41AB0">
        <w:fldChar w:fldCharType="begin"/>
      </w:r>
      <w:r w:rsidR="00F41AB0">
        <w:instrText xml:space="preserve"> SEQ Obr. \* ARABIC </w:instrText>
      </w:r>
      <w:r w:rsidR="00F41AB0">
        <w:fldChar w:fldCharType="separate"/>
      </w:r>
      <w:r w:rsidR="00486DB8">
        <w:rPr>
          <w:noProof/>
        </w:rPr>
        <w:t>3</w:t>
      </w:r>
      <w:r w:rsidR="00F41AB0">
        <w:rPr>
          <w:noProof/>
        </w:rPr>
        <w:fldChar w:fldCharType="end"/>
      </w:r>
      <w:r>
        <w:t xml:space="preserve"> </w:t>
      </w:r>
      <w:r w:rsidRPr="004313C1">
        <w:t>Znázornění počtu VDJ ve vztahu k pasené výměře u respondentů šetření</w:t>
      </w:r>
      <w:bookmarkEnd w:id="17"/>
    </w:p>
    <w:p w14:paraId="6057F6B2" w14:textId="2CC16465" w:rsidR="00616C5B" w:rsidRDefault="00616C5B" w:rsidP="00616C5B">
      <w:pPr>
        <w:pStyle w:val="Zdroje"/>
        <w:spacing w:after="240"/>
      </w:pPr>
      <w:r>
        <w:t>Zdroj: Dotazníkové šetření u chovatelů hospodářských zvířat v oblastech s výskytem vlka, ÚZEI 2023</w:t>
      </w:r>
    </w:p>
    <w:p w14:paraId="29A006AC" w14:textId="77777777" w:rsidR="00616C5B" w:rsidRDefault="00616C5B" w:rsidP="00616C5B">
      <w:r>
        <w:t>Na výše uvedených plochách je chováno přes devět tisíc pasených zvířat</w:t>
      </w:r>
      <w:r>
        <w:rPr>
          <w:rStyle w:val="Znakapoznpodarou"/>
        </w:rPr>
        <w:footnoteReference w:id="3"/>
      </w:r>
      <w:r>
        <w:t xml:space="preserve"> – převážně ovcí (7 493 ks, tj. 81,4 %), koz (660 ks, 7,2 %) a skotu (944 ks, 10,3 %), a dále také koní, oslů, a lam alpak. V přepočtu na velké dobytčí jednotky je celkem,</w:t>
      </w:r>
      <w:r w:rsidDel="001F63F8">
        <w:t xml:space="preserve"> </w:t>
      </w:r>
      <w:r>
        <w:t>dle uvedených údajů v šetření, farmáři chováno 2 048 VDJ (průměrně 34,7 VDJ na farmu), což odpovídá zatížení pastvin ve výši 0,77 (VDJ na pasené pozemky). Zatížení pasených pozemků s opatřeními pak je 0,87 VDJ/ha. U vybraných zvířat (ovce, kozy, skot) vychází počet chovaných zvířat v přepočtu na velké dobytčí jednotky celkem 1 947 VDJ (průměrně 33 VDJ/farmu), což je na uvedenou výměru pozemků zatížení 0,73 na ha pasených ploch, respektive 0,83 VDJ/ha pozemků s opatřeními.</w:t>
      </w:r>
    </w:p>
    <w:p w14:paraId="7B2CBF8F" w14:textId="77777777" w:rsidR="00616C5B" w:rsidRDefault="00616C5B" w:rsidP="00616C5B">
      <w:r>
        <w:t>Pouze dva subjekty uvedly, že chovají pouze skot bez ovcí a koz (jeden z nich má navíc pouze dva koně), tedy pouze 3,4 % respondentů. Z důvodu nízkého počtu respondentů není zaručena reprezentativnost a nebylo možné stanovit náklady samostatně pro skot. Celkem 26 respondentů chová pouze ovce, tj. 44,1 % (jeden má navíc k ovcím i lamy a jeden má navíc koně, ostatních 24 chová opravdu pouze ovce). Chovatel, který chová pouze kozy, se v šetření vyskytoval pouze jeden. Více než polovina respondentů tedy chová kombinaci více druhů zvířat, z tohoto důvodu bylo přistoupeno ke stanovení pouze jednoho výpočtu.</w:t>
      </w:r>
    </w:p>
    <w:p w14:paraId="7EBDD14C" w14:textId="77777777" w:rsidR="00616C5B" w:rsidRDefault="00616C5B" w:rsidP="00616C5B">
      <w:pPr>
        <w:keepNext/>
        <w:ind w:firstLine="0"/>
      </w:pPr>
      <w:r w:rsidRPr="00BC5918">
        <w:rPr>
          <w:noProof/>
        </w:rPr>
        <w:lastRenderedPageBreak/>
        <w:t xml:space="preserve"> </w:t>
      </w:r>
      <w:r>
        <w:rPr>
          <w:noProof/>
        </w:rPr>
        <w:drawing>
          <wp:inline distT="0" distB="0" distL="0" distR="0" wp14:anchorId="475928D4" wp14:editId="1C426EB8">
            <wp:extent cx="5759450" cy="2343150"/>
            <wp:effectExtent l="0" t="0" r="0" b="0"/>
            <wp:docPr id="182463472" name="Graf 1">
              <a:extLst xmlns:a="http://schemas.openxmlformats.org/drawingml/2006/main">
                <a:ext uri="{FF2B5EF4-FFF2-40B4-BE49-F238E27FC236}">
                  <a16:creationId xmlns:a16="http://schemas.microsoft.com/office/drawing/2014/main" id="{42CEFBB4-3898-2676-2F97-7B0156147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1356A8" w14:textId="40631D9A" w:rsidR="00616C5B" w:rsidRDefault="00616C5B" w:rsidP="00616C5B">
      <w:pPr>
        <w:pStyle w:val="Titulek"/>
        <w:spacing w:before="120"/>
      </w:pPr>
      <w:bookmarkStart w:id="18" w:name="_Toc138062257"/>
      <w:r>
        <w:t>Obr. </w:t>
      </w:r>
      <w:r w:rsidR="00F41AB0">
        <w:fldChar w:fldCharType="begin"/>
      </w:r>
      <w:r w:rsidR="00F41AB0">
        <w:instrText xml:space="preserve"> SEQ Obr. \* ARABIC </w:instrText>
      </w:r>
      <w:r w:rsidR="00F41AB0">
        <w:fldChar w:fldCharType="separate"/>
      </w:r>
      <w:r w:rsidR="00486DB8">
        <w:rPr>
          <w:noProof/>
        </w:rPr>
        <w:t>4</w:t>
      </w:r>
      <w:r w:rsidR="00F41AB0">
        <w:rPr>
          <w:noProof/>
        </w:rPr>
        <w:fldChar w:fldCharType="end"/>
      </w:r>
      <w:r>
        <w:t xml:space="preserve"> Počet pasených hospodářských a zájmových zvířat u respondentů (v ks)</w:t>
      </w:r>
      <w:bookmarkEnd w:id="18"/>
    </w:p>
    <w:p w14:paraId="27F04339" w14:textId="77777777" w:rsidR="00616C5B" w:rsidRDefault="00616C5B" w:rsidP="00616C5B">
      <w:pPr>
        <w:pStyle w:val="Zdroje"/>
        <w:spacing w:after="240"/>
      </w:pPr>
      <w:r>
        <w:t>Zdroj: Dotazníkové šetření u chovatelů hospodářských zvířat v oblastech s výskytem vlka, ÚZEI 2023</w:t>
      </w:r>
    </w:p>
    <w:p w14:paraId="474FB387" w14:textId="77777777" w:rsidR="00616C5B" w:rsidRDefault="00616C5B" w:rsidP="00616C5B">
      <w:r>
        <w:t>Část zvířat, cca 20 %, se vyskytuje na pastvině celoročně. Zbytek pobývá na pastvině od dubna či května do listopadu, většinou v závislosti na povětrnostních podmínkách (200–300 dnů ročně).</w:t>
      </w:r>
    </w:p>
    <w:p w14:paraId="57A7295E" w14:textId="77777777" w:rsidR="00616C5B" w:rsidRDefault="00616C5B" w:rsidP="00616C5B">
      <w:r>
        <w:t>Všichni respondenti dotazníkového šetření uvedli, že využívají na svých pozemcích nějakou formu oplocení. Někteří (15,3 %) kombinují pastvu s oplocením také s volnou pastvou, tedy bez využití ohradníků. U 84,7 % respondentů jsou pastviny pouze oplocené, bez ohledu na délku pastevního období. Z toho 54,2 % subjektů uvedlo, že využívá oplocení pouze s elektrickým napětím, dalších 40,7 % respondentů má pastviny oploceno kombinací oplocení s využitím elektrických zařízení a oplocení bez elektrického napětí. Zbylých 5,1 %, tedy pouhé 3 subjekty uvedly, že mají pastviny oploceny pouze pevným plotem bez využití elektrického napětí.</w:t>
      </w:r>
    </w:p>
    <w:p w14:paraId="42EAE77F" w14:textId="77777777" w:rsidR="00616C5B" w:rsidRDefault="00616C5B" w:rsidP="00616C5B">
      <w:r>
        <w:t>Volnou pastvu hlídá ve všech případech pastevec, nicméně ve dvou případech tak tomu před výskytem vlka nebylo. Průměrně pastevec stráví pastvou 10,3 hodin denně, před výskytem vlka to bylo 3,4 hodin denně. Na pastvě stráví průměrně ročně 165 dní, kdy jeden pastevec má průměrně na starost 268 zvířat. Pouze jeden pastevec hlídá pastvinu bez psa.</w:t>
      </w:r>
    </w:p>
    <w:p w14:paraId="48BFBFA3" w14:textId="77777777" w:rsidR="00616C5B" w:rsidRDefault="00616C5B" w:rsidP="00616C5B">
      <w:r>
        <w:t>Ovčáckého psa (respektive 1–4 psy) při volné pastvě používá 8 respondentů</w:t>
      </w:r>
      <w:r>
        <w:rPr>
          <w:rStyle w:val="Znakapoznpodarou"/>
        </w:rPr>
        <w:footnoteReference w:id="4"/>
      </w:r>
      <w:r>
        <w:t xml:space="preserve">, tedy celkem 88,9 % subjektů, kteří provádějí volnou pastvu. Pasteveckého psa pak má 28,8 % všech dotazovaných (17 subjektů). Jelikož všichni respondenti v dotazníku využívají na svých pastvinách (nebo alespoň na jejich části) oplocení, nelze s určitostí říci, u kterého typu pastvy je pastevecký pes využíván častěji. </w:t>
      </w:r>
      <w:r w:rsidRPr="002650A1">
        <w:t>Počet</w:t>
      </w:r>
      <w:r w:rsidRPr="0019241F">
        <w:t xml:space="preserve"> pasteveckých</w:t>
      </w:r>
      <w:r w:rsidRPr="002650A1">
        <w:t xml:space="preserve"> psů se</w:t>
      </w:r>
      <w:r>
        <w:t xml:space="preserve"> dle šetření</w:t>
      </w:r>
      <w:r w:rsidRPr="002650A1">
        <w:t xml:space="preserve"> pohybuje v intervalu 1–23</w:t>
      </w:r>
      <w:r>
        <w:t> </w:t>
      </w:r>
      <w:r w:rsidRPr="002650A1">
        <w:t>na chovatele. Uváděná plemena jsou různá – nejčastěji se mezi odpověďmi vyskytuje slovenský čuvač a</w:t>
      </w:r>
      <w:r>
        <w:t> </w:t>
      </w:r>
      <w:r w:rsidRPr="002650A1">
        <w:t xml:space="preserve">německý ovčák, případně </w:t>
      </w:r>
      <w:proofErr w:type="spellStart"/>
      <w:r w:rsidRPr="002650A1">
        <w:t>podhala</w:t>
      </w:r>
      <w:r>
        <w:t>ň</w:t>
      </w:r>
      <w:r w:rsidRPr="002650A1">
        <w:t>ský</w:t>
      </w:r>
      <w:proofErr w:type="spellEnd"/>
      <w:r w:rsidRPr="002650A1">
        <w:t xml:space="preserve"> </w:t>
      </w:r>
      <w:r>
        <w:t>ovčák</w:t>
      </w:r>
      <w:r w:rsidRPr="002650A1">
        <w:t xml:space="preserve"> a</w:t>
      </w:r>
      <w:r>
        <w:t> </w:t>
      </w:r>
      <w:r w:rsidRPr="002650A1">
        <w:t xml:space="preserve">anatolský pastevecký pes. Dalšími uváděnými plemeny jsou například </w:t>
      </w:r>
      <w:proofErr w:type="spellStart"/>
      <w:r w:rsidRPr="002650A1">
        <w:t>tornjak</w:t>
      </w:r>
      <w:proofErr w:type="spellEnd"/>
      <w:r w:rsidRPr="002650A1">
        <w:t xml:space="preserve"> nebo </w:t>
      </w:r>
      <w:proofErr w:type="spellStart"/>
      <w:r w:rsidRPr="002650A1">
        <w:t>border</w:t>
      </w:r>
      <w:proofErr w:type="spellEnd"/>
      <w:r w:rsidRPr="002650A1">
        <w:t xml:space="preserve"> </w:t>
      </w:r>
      <w:proofErr w:type="spellStart"/>
      <w:r w:rsidRPr="002650A1">
        <w:t>colie</w:t>
      </w:r>
      <w:proofErr w:type="spellEnd"/>
      <w:r w:rsidRPr="002650A1">
        <w:t>.</w:t>
      </w:r>
    </w:p>
    <w:p w14:paraId="7F27BB82" w14:textId="77777777" w:rsidR="00616C5B" w:rsidRDefault="00616C5B" w:rsidP="00616C5B">
      <w:r>
        <w:t>Nejčastější formou pracovního úvazku osob, které vykonávají jednotlivé činnosti pro chovatele zvířat, je stálý zaměstnanec (a to včetně práce samotného majitele). Tato forma byla uvedena respondenty v 57,4 % případů. V menší míře se pak objevují neplacení dobrovolníci (16,5 %), pracovníci na dohodu (13,9 %) a práce sjednaná službou (12,2 %). Většina subjektů (71 %) využívá na různé činnosti pouze jednu z uvedených forem zaměstnání.</w:t>
      </w:r>
    </w:p>
    <w:p w14:paraId="32516EA0" w14:textId="77777777" w:rsidR="00616C5B" w:rsidRDefault="00616C5B" w:rsidP="00616C5B">
      <w:r>
        <w:lastRenderedPageBreak/>
        <w:t>Přestože jen v pěti dotaznících byl zmíněn útok vlka (na Vsetínsku a </w:t>
      </w:r>
      <w:proofErr w:type="spellStart"/>
      <w:r>
        <w:t>Jablunkovsku</w:t>
      </w:r>
      <w:proofErr w:type="spellEnd"/>
      <w:r>
        <w:t xml:space="preserve"> i přes využití elektrické ohrady, na Karvinsku a Trutnovsku před instalací dalších opatření), tak jsou uváděny i další nepřímé dopady výskytu vlka na chovatele. Nejčastěji zmiňovanými jsou ekonomické dopady – náročná údržba opatření, případně nemožnost aplikace těch základních, a to zejména z důvodu svažitého terénu v horských oblastech, geologickým útvarům, </w:t>
      </w:r>
      <w:proofErr w:type="spellStart"/>
      <w:r>
        <w:t>podmáčenosti</w:t>
      </w:r>
      <w:proofErr w:type="spellEnd"/>
      <w:r>
        <w:t>, prorůstání, nesouvislosti pozemků atd. Opakuje se také faktor stresu, kdy v důsledku přehánění a změny času pasení mají zvířata sníženou plodnost a produkci mléka. Na druhou stranu je uváděno, že někteří chovatelé využívali podobná opatření již dříve, aby chránili svá stáda před rysy a liškami.</w:t>
      </w:r>
    </w:p>
    <w:p w14:paraId="790DC876" w14:textId="77777777" w:rsidR="00616C5B" w:rsidRDefault="00616C5B" w:rsidP="00616C5B">
      <w:r>
        <w:t xml:space="preserve">Z dotazníků dále vyplývá, že přestože se vlci k farmám přibližují (vysledováno </w:t>
      </w:r>
      <w:proofErr w:type="spellStart"/>
      <w:r>
        <w:t>fotopastmi</w:t>
      </w:r>
      <w:proofErr w:type="spellEnd"/>
      <w:r>
        <w:t xml:space="preserve"> a útoky v okolí), tak většina opatření, přestože jsou náročná ekonomicky, logisticky i psychicky, tak fungují. Dále respondenti uvádí, že je chov pro ně srdcovou záležitostí, od které nechtějí upustit, pokud nebudou donuceni.</w:t>
      </w:r>
    </w:p>
    <w:p w14:paraId="20D05CFE" w14:textId="77777777" w:rsidR="00616C5B" w:rsidRDefault="00616C5B" w:rsidP="00616C5B">
      <w:r>
        <w:t>Pomoci by jim mohlo, dle vlastních slov, zavedení poradenství – konkrétně výpomoc s</w:t>
      </w:r>
      <w:r w:rsidDel="009C6D0A">
        <w:t> </w:t>
      </w:r>
      <w:r>
        <w:t>administrativní náročností dotačních titulů anebo s</w:t>
      </w:r>
      <w:r w:rsidDel="009C6D0A">
        <w:t> </w:t>
      </w:r>
      <w:r>
        <w:t>výběrem pasteveckých psů určených k</w:t>
      </w:r>
      <w:r w:rsidDel="009C6D0A">
        <w:t> </w:t>
      </w:r>
      <w:r>
        <w:t>práci (výchova, nebezpečí pro turisty atd.)</w:t>
      </w:r>
    </w:p>
    <w:p w14:paraId="748C3524" w14:textId="77777777" w:rsidR="00616C5B" w:rsidRDefault="00616C5B" w:rsidP="00EF651C">
      <w:pPr>
        <w:pStyle w:val="Nadpis2"/>
      </w:pPr>
      <w:bookmarkStart w:id="19" w:name="_Toc135304570"/>
      <w:bookmarkStart w:id="20" w:name="_Toc135304606"/>
      <w:bookmarkStart w:id="21" w:name="_Toc135304718"/>
      <w:bookmarkStart w:id="22" w:name="_Toc135304855"/>
      <w:bookmarkStart w:id="23" w:name="_Toc135304571"/>
      <w:bookmarkStart w:id="24" w:name="_Toc135304607"/>
      <w:bookmarkStart w:id="25" w:name="_Toc135304719"/>
      <w:bookmarkStart w:id="26" w:name="_Toc135304856"/>
      <w:bookmarkStart w:id="27" w:name="_Toc135304610"/>
      <w:bookmarkStart w:id="28" w:name="_Toc135304722"/>
      <w:bookmarkStart w:id="29" w:name="_Toc138062961"/>
      <w:bookmarkEnd w:id="19"/>
      <w:bookmarkEnd w:id="20"/>
      <w:bookmarkEnd w:id="21"/>
      <w:bookmarkEnd w:id="22"/>
      <w:bookmarkEnd w:id="23"/>
      <w:bookmarkEnd w:id="24"/>
      <w:bookmarkEnd w:id="25"/>
      <w:bookmarkEnd w:id="26"/>
      <w:r>
        <w:t>Výše nákladů na organizaci pastvy</w:t>
      </w:r>
      <w:bookmarkEnd w:id="27"/>
      <w:bookmarkEnd w:id="28"/>
      <w:bookmarkEnd w:id="29"/>
    </w:p>
    <w:p w14:paraId="41DFA11C" w14:textId="08144DBA" w:rsidR="00616C5B" w:rsidRDefault="00616C5B" w:rsidP="00616C5B">
      <w:r>
        <w:t>Na základě výše zmíněného způsobu výpočtu byly provedeny kalkulace za jednotlivé typy činností, které chovatelé provádějí při pastvě s</w:t>
      </w:r>
      <w:r w:rsidDel="009C6D0A">
        <w:t> </w:t>
      </w:r>
      <w:r>
        <w:t>využitím ohradníků/oplocení, při volné pastvě a </w:t>
      </w:r>
      <w:r w:rsidR="002371B3">
        <w:t xml:space="preserve">jako doplňková informace kalkulace </w:t>
      </w:r>
      <w:r>
        <w:t>v</w:t>
      </w:r>
      <w:r w:rsidDel="009C6D0A">
        <w:t> </w:t>
      </w:r>
      <w:r>
        <w:t>případě využití pasteveckého psa. Frekvenci jednotlivých typů pastvy a počty respondentů, kteří využívají pastevecké psy, zobrazuje následující tabulka.</w:t>
      </w:r>
    </w:p>
    <w:p w14:paraId="3B3492E7" w14:textId="542AC85C" w:rsidR="00616C5B" w:rsidRDefault="00616C5B" w:rsidP="00616C5B">
      <w:pPr>
        <w:pStyle w:val="Titulek"/>
      </w:pPr>
      <w:bookmarkStart w:id="30" w:name="_Ref135136918"/>
      <w:bookmarkStart w:id="31" w:name="_Toc138062281"/>
      <w:r>
        <w:t>Tab. </w:t>
      </w:r>
      <w:r w:rsidR="00F41AB0">
        <w:fldChar w:fldCharType="begin"/>
      </w:r>
      <w:r w:rsidR="00F41AB0">
        <w:instrText xml:space="preserve"> SEQ Tab. \* ARABIC </w:instrText>
      </w:r>
      <w:r w:rsidR="00F41AB0">
        <w:fldChar w:fldCharType="separate"/>
      </w:r>
      <w:r w:rsidR="003815AA">
        <w:rPr>
          <w:noProof/>
        </w:rPr>
        <w:t>1</w:t>
      </w:r>
      <w:r w:rsidR="00F41AB0">
        <w:rPr>
          <w:noProof/>
        </w:rPr>
        <w:fldChar w:fldCharType="end"/>
      </w:r>
      <w:bookmarkEnd w:id="30"/>
      <w:r>
        <w:t xml:space="preserve"> </w:t>
      </w:r>
      <w:r w:rsidRPr="006E666F">
        <w:t xml:space="preserve">Četnost opatření při pastvě </w:t>
      </w:r>
      <w:r>
        <w:t>v oblastech s trvalým výskytem vlka obecného</w:t>
      </w:r>
      <w:bookmarkEnd w:id="3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4"/>
        <w:gridCol w:w="3024"/>
        <w:gridCol w:w="3024"/>
      </w:tblGrid>
      <w:tr w:rsidR="00616C5B" w:rsidRPr="00345C01" w14:paraId="6E2A4BB9" w14:textId="77777777">
        <w:trPr>
          <w:trHeight w:val="567"/>
        </w:trPr>
        <w:tc>
          <w:tcPr>
            <w:tcW w:w="3024" w:type="dxa"/>
            <w:shd w:val="clear" w:color="auto" w:fill="BDD6EE"/>
            <w:noWrap/>
            <w:vAlign w:val="center"/>
            <w:hideMark/>
          </w:tcPr>
          <w:p w14:paraId="6AF478B0" w14:textId="77777777" w:rsidR="00616C5B" w:rsidRPr="00345C01" w:rsidRDefault="00616C5B" w:rsidP="0003481B">
            <w:pPr>
              <w:keepNext/>
              <w:spacing w:before="0" w:line="240" w:lineRule="auto"/>
              <w:ind w:firstLine="0"/>
              <w:jc w:val="center"/>
              <w:rPr>
                <w:rFonts w:cs="Arial"/>
                <w:b/>
                <w:bCs/>
                <w:color w:val="000000"/>
              </w:rPr>
            </w:pPr>
            <w:r>
              <w:rPr>
                <w:rFonts w:cs="Arial"/>
                <w:b/>
                <w:bCs/>
                <w:color w:val="000000"/>
              </w:rPr>
              <w:t>Typ o</w:t>
            </w:r>
            <w:r w:rsidRPr="00345C01">
              <w:rPr>
                <w:rFonts w:cs="Arial"/>
                <w:b/>
                <w:bCs/>
                <w:color w:val="000000"/>
              </w:rPr>
              <w:t>patření</w:t>
            </w:r>
          </w:p>
        </w:tc>
        <w:tc>
          <w:tcPr>
            <w:tcW w:w="3024" w:type="dxa"/>
            <w:shd w:val="clear" w:color="auto" w:fill="BDD6EE"/>
            <w:noWrap/>
            <w:vAlign w:val="center"/>
            <w:hideMark/>
          </w:tcPr>
          <w:p w14:paraId="3FC6F0CC" w14:textId="77777777" w:rsidR="00616C5B" w:rsidRPr="00345C01" w:rsidRDefault="00616C5B" w:rsidP="0003481B">
            <w:pPr>
              <w:keepNext/>
              <w:spacing w:before="0" w:line="240" w:lineRule="auto"/>
              <w:ind w:firstLine="0"/>
              <w:jc w:val="center"/>
              <w:rPr>
                <w:rFonts w:cs="Arial"/>
                <w:b/>
                <w:bCs/>
                <w:color w:val="000000"/>
              </w:rPr>
            </w:pPr>
            <w:r w:rsidRPr="00345C01">
              <w:rPr>
                <w:rFonts w:cs="Arial"/>
                <w:b/>
                <w:bCs/>
                <w:color w:val="000000"/>
              </w:rPr>
              <w:t xml:space="preserve">Četnost výskytu </w:t>
            </w:r>
            <w:r>
              <w:rPr>
                <w:rFonts w:cs="Arial"/>
                <w:b/>
                <w:bCs/>
                <w:color w:val="000000"/>
              </w:rPr>
              <w:br/>
            </w:r>
            <w:r w:rsidRPr="00345C01">
              <w:rPr>
                <w:rFonts w:cs="Arial"/>
                <w:b/>
                <w:bCs/>
                <w:color w:val="000000"/>
              </w:rPr>
              <w:t>– počet subjektů</w:t>
            </w:r>
          </w:p>
        </w:tc>
        <w:tc>
          <w:tcPr>
            <w:tcW w:w="3024" w:type="dxa"/>
            <w:shd w:val="clear" w:color="auto" w:fill="BDD6EE"/>
            <w:noWrap/>
            <w:vAlign w:val="center"/>
            <w:hideMark/>
          </w:tcPr>
          <w:p w14:paraId="4E109B80" w14:textId="77777777" w:rsidR="00616C5B" w:rsidRPr="00345C01" w:rsidRDefault="00616C5B" w:rsidP="0003481B">
            <w:pPr>
              <w:keepNext/>
              <w:spacing w:before="0" w:line="240" w:lineRule="auto"/>
              <w:ind w:firstLine="0"/>
              <w:jc w:val="center"/>
              <w:rPr>
                <w:rFonts w:cs="Arial"/>
                <w:b/>
                <w:bCs/>
                <w:color w:val="000000"/>
              </w:rPr>
            </w:pPr>
            <w:r w:rsidRPr="00345C01">
              <w:rPr>
                <w:rFonts w:cs="Arial"/>
                <w:b/>
                <w:bCs/>
                <w:color w:val="000000"/>
              </w:rPr>
              <w:t>Procentuální vyjádření</w:t>
            </w:r>
          </w:p>
        </w:tc>
      </w:tr>
      <w:tr w:rsidR="00616C5B" w:rsidRPr="00345C01" w14:paraId="434DA16C" w14:textId="77777777">
        <w:trPr>
          <w:trHeight w:val="283"/>
        </w:trPr>
        <w:tc>
          <w:tcPr>
            <w:tcW w:w="3024" w:type="dxa"/>
            <w:shd w:val="clear" w:color="auto" w:fill="auto"/>
            <w:noWrap/>
            <w:vAlign w:val="center"/>
          </w:tcPr>
          <w:p w14:paraId="67A7EA52" w14:textId="2BF99852" w:rsidR="00616C5B" w:rsidRPr="00345C01" w:rsidRDefault="00616C5B" w:rsidP="0003481B">
            <w:pPr>
              <w:keepNext/>
              <w:spacing w:before="0" w:line="240" w:lineRule="auto"/>
              <w:ind w:firstLine="0"/>
              <w:jc w:val="left"/>
              <w:rPr>
                <w:rFonts w:cs="Arial"/>
                <w:color w:val="000000"/>
              </w:rPr>
            </w:pPr>
            <w:r>
              <w:rPr>
                <w:rFonts w:cs="Arial"/>
                <w:color w:val="000000"/>
              </w:rPr>
              <w:t>Pastva s</w:t>
            </w:r>
            <w:r w:rsidR="00A64C66">
              <w:rPr>
                <w:rFonts w:cs="Arial"/>
                <w:color w:val="000000"/>
              </w:rPr>
              <w:t> </w:t>
            </w:r>
            <w:r>
              <w:rPr>
                <w:rFonts w:cs="Arial"/>
                <w:color w:val="000000"/>
              </w:rPr>
              <w:t>oplocením</w:t>
            </w:r>
          </w:p>
        </w:tc>
        <w:tc>
          <w:tcPr>
            <w:tcW w:w="3024" w:type="dxa"/>
            <w:shd w:val="clear" w:color="auto" w:fill="auto"/>
            <w:noWrap/>
            <w:vAlign w:val="center"/>
          </w:tcPr>
          <w:p w14:paraId="2FD53E35" w14:textId="77777777" w:rsidR="00616C5B" w:rsidRPr="00345C01" w:rsidRDefault="00616C5B" w:rsidP="0003481B">
            <w:pPr>
              <w:keepNext/>
              <w:spacing w:before="0" w:line="240" w:lineRule="auto"/>
              <w:ind w:firstLine="0"/>
              <w:jc w:val="right"/>
              <w:rPr>
                <w:rFonts w:cs="Arial"/>
                <w:color w:val="000000"/>
              </w:rPr>
            </w:pPr>
            <w:r>
              <w:rPr>
                <w:rFonts w:cs="Arial"/>
                <w:color w:val="000000"/>
              </w:rPr>
              <w:t>59</w:t>
            </w:r>
          </w:p>
        </w:tc>
        <w:tc>
          <w:tcPr>
            <w:tcW w:w="3024" w:type="dxa"/>
            <w:shd w:val="clear" w:color="auto" w:fill="auto"/>
            <w:noWrap/>
            <w:vAlign w:val="center"/>
          </w:tcPr>
          <w:p w14:paraId="22C038BE" w14:textId="77777777" w:rsidR="00616C5B" w:rsidRPr="00345C01" w:rsidRDefault="00616C5B" w:rsidP="0003481B">
            <w:pPr>
              <w:keepNext/>
              <w:spacing w:before="0" w:line="240" w:lineRule="auto"/>
              <w:ind w:firstLine="0"/>
              <w:jc w:val="right"/>
              <w:rPr>
                <w:rFonts w:cs="Arial"/>
                <w:color w:val="000000"/>
              </w:rPr>
            </w:pPr>
            <w:r>
              <w:rPr>
                <w:rFonts w:cs="Arial"/>
                <w:color w:val="000000"/>
              </w:rPr>
              <w:t>100,00 %</w:t>
            </w:r>
          </w:p>
        </w:tc>
      </w:tr>
      <w:tr w:rsidR="00616C5B" w:rsidRPr="00345C01" w14:paraId="1171B7A2" w14:textId="77777777">
        <w:trPr>
          <w:trHeight w:val="283"/>
        </w:trPr>
        <w:tc>
          <w:tcPr>
            <w:tcW w:w="3024" w:type="dxa"/>
            <w:shd w:val="clear" w:color="auto" w:fill="auto"/>
            <w:noWrap/>
            <w:vAlign w:val="center"/>
          </w:tcPr>
          <w:p w14:paraId="14368241" w14:textId="77777777" w:rsidR="00616C5B" w:rsidRPr="00345C01" w:rsidRDefault="00616C5B" w:rsidP="0003481B">
            <w:pPr>
              <w:keepNext/>
              <w:spacing w:before="0" w:line="240" w:lineRule="auto"/>
              <w:ind w:firstLine="0"/>
              <w:jc w:val="left"/>
              <w:rPr>
                <w:rFonts w:cs="Arial"/>
                <w:color w:val="000000"/>
              </w:rPr>
            </w:pPr>
            <w:r>
              <w:rPr>
                <w:rFonts w:cs="Arial"/>
                <w:color w:val="000000"/>
              </w:rPr>
              <w:t>Volná pastva</w:t>
            </w:r>
          </w:p>
        </w:tc>
        <w:tc>
          <w:tcPr>
            <w:tcW w:w="3024" w:type="dxa"/>
            <w:shd w:val="clear" w:color="auto" w:fill="auto"/>
            <w:noWrap/>
            <w:vAlign w:val="center"/>
          </w:tcPr>
          <w:p w14:paraId="0A2FBF2C" w14:textId="77777777" w:rsidR="00616C5B" w:rsidRPr="00345C01" w:rsidRDefault="00616C5B" w:rsidP="0003481B">
            <w:pPr>
              <w:keepNext/>
              <w:spacing w:before="0" w:line="240" w:lineRule="auto"/>
              <w:ind w:firstLine="0"/>
              <w:jc w:val="right"/>
              <w:rPr>
                <w:rFonts w:cs="Arial"/>
                <w:color w:val="000000"/>
              </w:rPr>
            </w:pPr>
            <w:r>
              <w:rPr>
                <w:rFonts w:cs="Arial"/>
                <w:color w:val="000000"/>
              </w:rPr>
              <w:t>9</w:t>
            </w:r>
          </w:p>
        </w:tc>
        <w:tc>
          <w:tcPr>
            <w:tcW w:w="3024" w:type="dxa"/>
            <w:shd w:val="clear" w:color="auto" w:fill="auto"/>
            <w:noWrap/>
            <w:vAlign w:val="center"/>
          </w:tcPr>
          <w:p w14:paraId="64C5C05E" w14:textId="77777777" w:rsidR="00616C5B" w:rsidRPr="00345C01" w:rsidRDefault="00616C5B" w:rsidP="0003481B">
            <w:pPr>
              <w:keepNext/>
              <w:spacing w:before="0" w:line="240" w:lineRule="auto"/>
              <w:ind w:firstLine="0"/>
              <w:jc w:val="right"/>
              <w:rPr>
                <w:rFonts w:cs="Arial"/>
                <w:color w:val="000000"/>
              </w:rPr>
            </w:pPr>
            <w:r>
              <w:rPr>
                <w:rFonts w:cs="Arial"/>
                <w:color w:val="000000"/>
              </w:rPr>
              <w:t>15,25</w:t>
            </w:r>
            <w:r w:rsidRPr="00345C01">
              <w:rPr>
                <w:rFonts w:cs="Arial"/>
                <w:color w:val="000000"/>
              </w:rPr>
              <w:t> %</w:t>
            </w:r>
          </w:p>
        </w:tc>
      </w:tr>
      <w:tr w:rsidR="00616C5B" w:rsidRPr="00345C01" w14:paraId="762996E2" w14:textId="77777777">
        <w:trPr>
          <w:trHeight w:val="283"/>
        </w:trPr>
        <w:tc>
          <w:tcPr>
            <w:tcW w:w="3024" w:type="dxa"/>
            <w:shd w:val="clear" w:color="auto" w:fill="auto"/>
            <w:noWrap/>
            <w:vAlign w:val="center"/>
          </w:tcPr>
          <w:p w14:paraId="529E8164" w14:textId="5906E2CF" w:rsidR="00616C5B" w:rsidRPr="00345C01" w:rsidRDefault="00F648D0" w:rsidP="00F648D0">
            <w:pPr>
              <w:keepNext/>
              <w:spacing w:before="0" w:line="240" w:lineRule="auto"/>
              <w:ind w:firstLine="0"/>
              <w:jc w:val="left"/>
              <w:rPr>
                <w:rFonts w:cs="Arial"/>
                <w:color w:val="000000"/>
              </w:rPr>
            </w:pPr>
            <w:r>
              <w:rPr>
                <w:rFonts w:cs="Arial"/>
                <w:color w:val="000000"/>
              </w:rPr>
              <w:t>Využití p</w:t>
            </w:r>
            <w:r w:rsidR="00616C5B">
              <w:rPr>
                <w:rFonts w:cs="Arial"/>
                <w:color w:val="000000"/>
              </w:rPr>
              <w:t>asteveck</w:t>
            </w:r>
            <w:r>
              <w:rPr>
                <w:rFonts w:cs="Arial"/>
                <w:color w:val="000000"/>
              </w:rPr>
              <w:t>ého</w:t>
            </w:r>
            <w:r w:rsidR="00616C5B">
              <w:rPr>
                <w:rFonts w:cs="Arial"/>
                <w:color w:val="000000"/>
              </w:rPr>
              <w:t xml:space="preserve"> ps</w:t>
            </w:r>
            <w:r>
              <w:rPr>
                <w:rFonts w:cs="Arial"/>
                <w:color w:val="000000"/>
              </w:rPr>
              <w:t>a</w:t>
            </w:r>
          </w:p>
        </w:tc>
        <w:tc>
          <w:tcPr>
            <w:tcW w:w="3024" w:type="dxa"/>
            <w:shd w:val="clear" w:color="auto" w:fill="auto"/>
            <w:noWrap/>
            <w:vAlign w:val="center"/>
          </w:tcPr>
          <w:p w14:paraId="25D6B45E" w14:textId="7957568A" w:rsidR="00616C5B" w:rsidRPr="00345C01" w:rsidRDefault="00616C5B" w:rsidP="0003481B">
            <w:pPr>
              <w:keepNext/>
              <w:spacing w:before="0" w:line="240" w:lineRule="auto"/>
              <w:ind w:firstLine="0"/>
              <w:jc w:val="right"/>
              <w:rPr>
                <w:rFonts w:cs="Arial"/>
                <w:color w:val="000000"/>
              </w:rPr>
            </w:pPr>
            <w:r>
              <w:rPr>
                <w:rFonts w:cs="Arial"/>
                <w:color w:val="000000"/>
              </w:rPr>
              <w:t>17</w:t>
            </w:r>
          </w:p>
        </w:tc>
        <w:tc>
          <w:tcPr>
            <w:tcW w:w="3024" w:type="dxa"/>
            <w:shd w:val="clear" w:color="auto" w:fill="auto"/>
            <w:noWrap/>
            <w:vAlign w:val="center"/>
          </w:tcPr>
          <w:p w14:paraId="38D24839" w14:textId="7D43A3BC" w:rsidR="00616C5B" w:rsidRPr="00345C01" w:rsidRDefault="00616C5B" w:rsidP="0003481B">
            <w:pPr>
              <w:keepNext/>
              <w:spacing w:before="0" w:line="240" w:lineRule="auto"/>
              <w:ind w:firstLine="0"/>
              <w:jc w:val="right"/>
              <w:rPr>
                <w:rFonts w:cs="Arial"/>
                <w:color w:val="000000"/>
              </w:rPr>
            </w:pPr>
            <w:r>
              <w:rPr>
                <w:rFonts w:cs="Arial"/>
                <w:color w:val="000000"/>
              </w:rPr>
              <w:t>28,81</w:t>
            </w:r>
            <w:r w:rsidRPr="00345C01">
              <w:rPr>
                <w:rFonts w:cs="Arial"/>
                <w:color w:val="000000"/>
              </w:rPr>
              <w:t> %</w:t>
            </w:r>
          </w:p>
        </w:tc>
      </w:tr>
    </w:tbl>
    <w:p w14:paraId="348E56AF" w14:textId="77777777" w:rsidR="00616C5B" w:rsidRDefault="00616C5B" w:rsidP="00616C5B">
      <w:pPr>
        <w:pStyle w:val="Zdroje"/>
        <w:spacing w:after="240"/>
      </w:pPr>
      <w:r>
        <w:t>Zdroj: Dotazníkové šetření u chovatelů hospodářských zvířat v oblastech s výskytem vlka, ÚZEI 2023</w:t>
      </w:r>
    </w:p>
    <w:p w14:paraId="53A057B5" w14:textId="7A4E726A" w:rsidR="00616C5B" w:rsidRDefault="00616C5B" w:rsidP="00616C5B">
      <w:r>
        <w:t>Dotazník byl rozdělen na více částí, přičemž u</w:t>
      </w:r>
      <w:r w:rsidR="00E7408C">
        <w:t> </w:t>
      </w:r>
      <w:r>
        <w:t>každého oddílu měli respondenti vyplňovat pouze hodnoty, které se vztahují samostatně k danému typu pastvy, způsobu oplocení, příslušnému opatření aj. V případě, že např.</w:t>
      </w:r>
      <w:r w:rsidR="00E7408C">
        <w:t> </w:t>
      </w:r>
      <w:r>
        <w:t>kontrolu psa na pastvině provádí chovatel současně s jinou činností, např. ji provádí pastevec, který je přítomen na pastvině, je reálná hrozba započítání dané časové náročnosti vícekrát. Tedy jak v položce u</w:t>
      </w:r>
      <w:r w:rsidR="00E7408C">
        <w:t> </w:t>
      </w:r>
      <w:r>
        <w:t>pastvy s oplocením (přítomnost pastevce), tak samostatně u nákladů na pasteveckého psa (kontrola psa na pastvině). Toto nelze při vyhodnocování dotazníku vyloučit.</w:t>
      </w:r>
    </w:p>
    <w:p w14:paraId="49519651" w14:textId="04191C94" w:rsidR="00616C5B" w:rsidRDefault="00616C5B" w:rsidP="00616C5B">
      <w:r>
        <w:t xml:space="preserve">V rámci časové náročnosti organizace pastvy s využitím oplocení byla provedena kalkulace zvýšených nákladů na instalaci ohradníků a manipulaci s nimi, na kontrolu a údržbu oplocení, </w:t>
      </w:r>
      <w:r w:rsidRPr="00C22D97">
        <w:t>na přítomnost pastevce při hlídání zvířat</w:t>
      </w:r>
      <w:r>
        <w:t>, na údržbu travního porostu pod elektrickými ohradníky a na přehánění zvířat na noc nebo mezi pastvinami. Mimo zvýšené časové náročnosti byly zkalkulovány pravidelné náklady vynaložené na běžný „provoz“ pasteveckého psa. Byly vyhodnoceny pravidelně se opakující náklady, tj. náklady na krmivo a veterinární péči, poplatek ze psů, ale</w:t>
      </w:r>
      <w:r w:rsidDel="00A41B30">
        <w:t xml:space="preserve"> </w:t>
      </w:r>
      <w:r>
        <w:t xml:space="preserve">také časová náročnost na kontrolu psa na pastvině. </w:t>
      </w:r>
      <w:r w:rsidR="003A3369">
        <w:t>V</w:t>
      </w:r>
      <w:r>
        <w:t>oln</w:t>
      </w:r>
      <w:r w:rsidR="00E229C5">
        <w:t>á</w:t>
      </w:r>
      <w:r>
        <w:t xml:space="preserve"> pastv</w:t>
      </w:r>
      <w:r w:rsidR="00E229C5">
        <w:t>a</w:t>
      </w:r>
      <w:r>
        <w:t>, tedy takov</w:t>
      </w:r>
      <w:r w:rsidR="00E229C5">
        <w:t>á</w:t>
      </w:r>
      <w:r>
        <w:t>, při které je nutná přítomnost pastevce a není naopak využíváno oplocení/ohradníky, není mezi respondenty natolik rozšířen</w:t>
      </w:r>
      <w:r w:rsidR="00E229C5">
        <w:t>a</w:t>
      </w:r>
      <w:r>
        <w:t xml:space="preserve">, dokonce žádný </w:t>
      </w:r>
      <w:r>
        <w:lastRenderedPageBreak/>
        <w:t xml:space="preserve">z respondentů neprovozuje pouze tento typ pastvy. </w:t>
      </w:r>
      <w:r w:rsidR="00E229C5">
        <w:t xml:space="preserve">Pouze </w:t>
      </w:r>
      <w:r>
        <w:t>devět respondentů však uvedlo, že oba typy pastvy kombinuje.</w:t>
      </w:r>
      <w:r w:rsidR="002B5F8B">
        <w:t xml:space="preserve"> Z důvodu nereprezentativnosti dat proto </w:t>
      </w:r>
      <w:r w:rsidR="00645CAE">
        <w:t>kalkulace není uvedena.</w:t>
      </w:r>
    </w:p>
    <w:p w14:paraId="5A0079EA" w14:textId="77777777" w:rsidR="00616C5B" w:rsidRDefault="00616C5B" w:rsidP="00EF651C">
      <w:pPr>
        <w:pStyle w:val="Nadpis3"/>
      </w:pPr>
      <w:bookmarkStart w:id="32" w:name="_Toc59005055"/>
      <w:bookmarkStart w:id="33" w:name="_Toc135304611"/>
      <w:bookmarkStart w:id="34" w:name="_Toc135304723"/>
      <w:bookmarkStart w:id="35" w:name="_Toc138062963"/>
      <w:r w:rsidRPr="00AA7BB0">
        <w:t>Časová náročnost organizace pastvy s využitím oplocení</w:t>
      </w:r>
      <w:bookmarkEnd w:id="32"/>
      <w:bookmarkEnd w:id="33"/>
      <w:bookmarkEnd w:id="34"/>
      <w:bookmarkEnd w:id="35"/>
    </w:p>
    <w:p w14:paraId="5F51F3B4" w14:textId="77777777" w:rsidR="00616C5B" w:rsidRDefault="00616C5B" w:rsidP="00616C5B">
      <w:r>
        <w:t>Na</w:t>
      </w:r>
      <w:r w:rsidDel="006B7413">
        <w:t xml:space="preserve"> </w:t>
      </w:r>
      <w:r>
        <w:t>tuto část dotazníku odpovědělo všech 59 </w:t>
      </w:r>
      <w:r w:rsidRPr="00735C0F">
        <w:t>resp</w:t>
      </w:r>
      <w:r w:rsidRPr="002841E2">
        <w:t>ondentů</w:t>
      </w:r>
      <w:r>
        <w:t>, všichni účastníci šetření tedy při pastvě zvířat nějaký typ oplocení využívají. Jak již bylo uvedeno, celkem 84,7 % respondentů (tj. 50 subjektů) uvedlo, že praktikují pouze pastvu s oplocením a zbylých 15,3 % respondentů (9) typy pastvy kombinuje, tj. na části svých pozemků praktikuje i tzv. volnou pastvu.</w:t>
      </w:r>
    </w:p>
    <w:p w14:paraId="65FF173B" w14:textId="77777777" w:rsidR="00616C5B" w:rsidRDefault="00616C5B" w:rsidP="00616C5B">
      <w:r>
        <w:t>Pouze tři respondenti v šetření (5,1 %) uvedli, že používají výhradně ohradníky bez elektrického napětí. Těchto subjektů se proto netýkaly otázky na údržbu travního porostu pod elektrickými ohradníky. Více jak 54 % subjektů má naopak pouze oplocení s elektrickým napětím a zbylých 40,7 % dotazovaných tyto typy kombinuje, má tedy oplocení jak s el. napětím, tak bez něj. Respondenti měli v dotazníku možnost uvést všechny typy oplocení, které na svých pozemcích využívají (jednak v rámci nabízených možností, jednak jim byl ponechán prostor na vypsání případných dalších typů. Nejčastěji respondenti využívají pouze jeden druh ohradníků/oplocení (32,2 %), dále jsou často využívány 2 či 3 typy oplocení (28,8 %, resp. 25,4 %). Necelých 12 % subjektů využívá celkem čtyři typy oplocení a jeden respondent uvedl, že má kombinaci dokonce 5 různých druhů oplocení. Celkem 55,9 % respondentů má své pastviny oploceny kombinací různých typů mobilních a pevných ohradníků. Pouze pevné oplocení využívá 27,1 % subjektů a zbylých 17 % má pouze mobilní oplocení. Nejčastěji využívané typy oplocení jsou mezi chovateli pevný plot, který má elektrické vodiče na pevných kůlech (alespoň na části svých pastvin tuto možnost využívá 67,8 % dotazovaných) a mobilní oplocení s vodivou elektrickou sítí (62,7 %). Následuje pevný plot s pletivem na pevných kůlech (42,4 %) a mobilní oplocení s elektrickými vodiči na přenosných kůlech/tyčkách (celkem 32,2 % chovatelů). Ostatní typy oplocení/ohradníků se vyskytovaly pouze ojediněle.</w:t>
      </w:r>
    </w:p>
    <w:p w14:paraId="062B2048" w14:textId="24965B2A" w:rsidR="00616C5B" w:rsidRDefault="00616C5B" w:rsidP="00616C5B">
      <w:r>
        <w:t xml:space="preserve">Níže v tabulce je uvedeno, jaká opatření jednotliví respondenti při organizaci pastvy s využitím ohradníků/oplocení provádějí. </w:t>
      </w:r>
      <w:r w:rsidRPr="00755F2E">
        <w:t>Je patrné, že nejméně časté je využívat pastevce na pastvině, tuto možnost uvedlo pouze 5 subjektů</w:t>
      </w:r>
      <w:r w:rsidRPr="00755F2E">
        <w:rPr>
          <w:rStyle w:val="Znakapoznpodarou"/>
        </w:rPr>
        <w:footnoteReference w:id="5"/>
      </w:r>
      <w:r w:rsidRPr="00755F2E">
        <w:t>.</w:t>
      </w:r>
      <w:r>
        <w:t xml:space="preserve"> Naopak</w:t>
      </w:r>
      <w:r w:rsidDel="00FA683A">
        <w:t xml:space="preserve"> </w:t>
      </w:r>
      <w:r>
        <w:t>kontrolu a údržbu oplocení provádějí všichni respondenti v šetření. Údržbu travního porostu provádí téměř 95 % subjektů, tedy všichni, kteří využívají elektrické ohradníky/oplocení. Ti, kteří elektrické napětí vůbec nevyužívají, na tuto část otázek ani neodpovídali. Určitou časovou náročnost vynaloženou na instalaci ohradníků a manipulaci s nimi uvedlo celkem 56 subjektů, tedy tři respondenti tuto činnost vůbec neprovádějí (a zároveň mají pouze pevné oplocení bez elektrického napětí). Přehánění zvířat provádí více než 81 % subjektů v šetření.</w:t>
      </w:r>
    </w:p>
    <w:p w14:paraId="3F822892" w14:textId="32922E53" w:rsidR="00616C5B" w:rsidRDefault="00616C5B" w:rsidP="00616C5B">
      <w:pPr>
        <w:pStyle w:val="Titulek"/>
      </w:pPr>
      <w:bookmarkStart w:id="36" w:name="_Ref137647408"/>
      <w:bookmarkStart w:id="37" w:name="_Ref109805796"/>
      <w:bookmarkStart w:id="38" w:name="_Toc109809447"/>
      <w:bookmarkStart w:id="39" w:name="_Toc115684295"/>
      <w:bookmarkStart w:id="40" w:name="_Toc138062282"/>
      <w:r>
        <w:t>Tab. </w:t>
      </w:r>
      <w:r w:rsidR="00F41AB0">
        <w:fldChar w:fldCharType="begin"/>
      </w:r>
      <w:r w:rsidR="00F41AB0">
        <w:instrText xml:space="preserve"> SEQ Tab. \* ARABIC </w:instrText>
      </w:r>
      <w:r w:rsidR="00F41AB0">
        <w:fldChar w:fldCharType="separate"/>
      </w:r>
      <w:r w:rsidR="003815AA">
        <w:rPr>
          <w:noProof/>
        </w:rPr>
        <w:t>2</w:t>
      </w:r>
      <w:r w:rsidR="00F41AB0">
        <w:rPr>
          <w:noProof/>
        </w:rPr>
        <w:fldChar w:fldCharType="end"/>
      </w:r>
      <w:bookmarkEnd w:id="36"/>
      <w:bookmarkEnd w:id="37"/>
      <w:r>
        <w:t xml:space="preserve"> </w:t>
      </w:r>
      <w:r w:rsidRPr="006E666F">
        <w:t>Četnost počtu opatření se zvýšenou časovou náročností při pastvě s využitím oplocení</w:t>
      </w:r>
      <w:bookmarkEnd w:id="38"/>
      <w:bookmarkEnd w:id="39"/>
      <w:bookmarkEnd w:id="4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24"/>
        <w:gridCol w:w="3024"/>
        <w:gridCol w:w="3024"/>
      </w:tblGrid>
      <w:tr w:rsidR="00616C5B" w:rsidRPr="00345C01" w14:paraId="507861C6" w14:textId="77777777">
        <w:trPr>
          <w:trHeight w:val="567"/>
        </w:trPr>
        <w:tc>
          <w:tcPr>
            <w:tcW w:w="3024" w:type="dxa"/>
            <w:shd w:val="clear" w:color="auto" w:fill="BDD6EE"/>
            <w:noWrap/>
            <w:vAlign w:val="center"/>
            <w:hideMark/>
          </w:tcPr>
          <w:p w14:paraId="7F5B4EA3" w14:textId="77777777" w:rsidR="00616C5B" w:rsidRPr="00345C01" w:rsidRDefault="00616C5B" w:rsidP="0003481B">
            <w:pPr>
              <w:keepNext/>
              <w:spacing w:before="0" w:line="240" w:lineRule="auto"/>
              <w:ind w:firstLine="0"/>
              <w:jc w:val="center"/>
              <w:rPr>
                <w:rFonts w:cs="Arial"/>
                <w:b/>
                <w:bCs/>
                <w:color w:val="000000"/>
              </w:rPr>
            </w:pPr>
            <w:r w:rsidRPr="00345C01">
              <w:rPr>
                <w:rFonts w:cs="Arial"/>
                <w:b/>
                <w:bCs/>
                <w:color w:val="000000"/>
              </w:rPr>
              <w:t>Počet opatření se zvýšenou časovou náročností</w:t>
            </w:r>
          </w:p>
        </w:tc>
        <w:tc>
          <w:tcPr>
            <w:tcW w:w="3024" w:type="dxa"/>
            <w:shd w:val="clear" w:color="auto" w:fill="BDD6EE"/>
            <w:noWrap/>
            <w:vAlign w:val="center"/>
            <w:hideMark/>
          </w:tcPr>
          <w:p w14:paraId="6CE4CF1B" w14:textId="77777777" w:rsidR="00616C5B" w:rsidRPr="00345C01" w:rsidRDefault="00616C5B" w:rsidP="0003481B">
            <w:pPr>
              <w:keepNext/>
              <w:spacing w:before="0" w:line="240" w:lineRule="auto"/>
              <w:ind w:firstLine="0"/>
              <w:jc w:val="center"/>
              <w:rPr>
                <w:rFonts w:cs="Arial"/>
                <w:b/>
                <w:bCs/>
                <w:color w:val="000000"/>
              </w:rPr>
            </w:pPr>
            <w:r w:rsidRPr="00345C01">
              <w:rPr>
                <w:rFonts w:cs="Arial"/>
                <w:b/>
                <w:bCs/>
                <w:color w:val="000000"/>
              </w:rPr>
              <w:t xml:space="preserve">Četnost výskytu </w:t>
            </w:r>
            <w:r>
              <w:rPr>
                <w:rFonts w:cs="Arial"/>
                <w:b/>
                <w:bCs/>
                <w:color w:val="000000"/>
              </w:rPr>
              <w:br/>
            </w:r>
            <w:r w:rsidRPr="00345C01">
              <w:rPr>
                <w:rFonts w:cs="Arial"/>
                <w:b/>
                <w:bCs/>
                <w:color w:val="000000"/>
              </w:rPr>
              <w:t>– počet</w:t>
            </w:r>
            <w:r>
              <w:rPr>
                <w:rFonts w:cs="Arial"/>
                <w:b/>
                <w:bCs/>
                <w:color w:val="000000"/>
              </w:rPr>
              <w:t xml:space="preserve"> odpovědí</w:t>
            </w:r>
          </w:p>
        </w:tc>
        <w:tc>
          <w:tcPr>
            <w:tcW w:w="3024" w:type="dxa"/>
            <w:shd w:val="clear" w:color="auto" w:fill="BDD6EE"/>
            <w:noWrap/>
            <w:vAlign w:val="center"/>
            <w:hideMark/>
          </w:tcPr>
          <w:p w14:paraId="20EA1D72" w14:textId="77777777" w:rsidR="00616C5B" w:rsidRPr="00345C01" w:rsidRDefault="00616C5B" w:rsidP="0003481B">
            <w:pPr>
              <w:keepNext/>
              <w:spacing w:before="0" w:line="240" w:lineRule="auto"/>
              <w:ind w:firstLine="0"/>
              <w:jc w:val="center"/>
              <w:rPr>
                <w:rFonts w:cs="Arial"/>
                <w:b/>
                <w:bCs/>
                <w:color w:val="000000"/>
              </w:rPr>
            </w:pPr>
            <w:r w:rsidRPr="00345C01">
              <w:rPr>
                <w:rFonts w:cs="Arial"/>
                <w:b/>
                <w:bCs/>
                <w:color w:val="000000"/>
              </w:rPr>
              <w:t>Procentuální vyjádření</w:t>
            </w:r>
          </w:p>
        </w:tc>
      </w:tr>
      <w:tr w:rsidR="00616C5B" w:rsidRPr="00345C01" w14:paraId="47344011" w14:textId="77777777">
        <w:trPr>
          <w:trHeight w:val="283"/>
        </w:trPr>
        <w:tc>
          <w:tcPr>
            <w:tcW w:w="3024" w:type="dxa"/>
            <w:shd w:val="clear" w:color="auto" w:fill="auto"/>
            <w:noWrap/>
            <w:vAlign w:val="center"/>
          </w:tcPr>
          <w:p w14:paraId="354BCE15" w14:textId="77777777" w:rsidR="00616C5B" w:rsidRPr="00345C01" w:rsidRDefault="00616C5B" w:rsidP="0003481B">
            <w:pPr>
              <w:keepNext/>
              <w:spacing w:before="0" w:line="240" w:lineRule="auto"/>
              <w:ind w:firstLine="0"/>
              <w:jc w:val="left"/>
              <w:rPr>
                <w:rFonts w:cs="Arial"/>
                <w:color w:val="000000"/>
              </w:rPr>
            </w:pPr>
            <w:r>
              <w:rPr>
                <w:rFonts w:cs="Arial"/>
                <w:color w:val="000000"/>
              </w:rPr>
              <w:t>Instalace oplocení, manipulace</w:t>
            </w:r>
          </w:p>
        </w:tc>
        <w:tc>
          <w:tcPr>
            <w:tcW w:w="3024" w:type="dxa"/>
            <w:shd w:val="clear" w:color="auto" w:fill="auto"/>
            <w:noWrap/>
            <w:vAlign w:val="center"/>
          </w:tcPr>
          <w:p w14:paraId="382DDDB6" w14:textId="77777777" w:rsidR="00616C5B" w:rsidRPr="00345C01" w:rsidRDefault="00616C5B" w:rsidP="0003481B">
            <w:pPr>
              <w:keepNext/>
              <w:spacing w:before="0" w:line="240" w:lineRule="auto"/>
              <w:ind w:firstLine="0"/>
              <w:jc w:val="right"/>
              <w:rPr>
                <w:rFonts w:cs="Arial"/>
                <w:color w:val="000000"/>
              </w:rPr>
            </w:pPr>
            <w:r>
              <w:rPr>
                <w:rFonts w:cs="Arial"/>
                <w:color w:val="000000"/>
              </w:rPr>
              <w:t>56</w:t>
            </w:r>
          </w:p>
        </w:tc>
        <w:tc>
          <w:tcPr>
            <w:tcW w:w="3024" w:type="dxa"/>
            <w:shd w:val="clear" w:color="auto" w:fill="auto"/>
            <w:noWrap/>
            <w:vAlign w:val="center"/>
          </w:tcPr>
          <w:p w14:paraId="529F600A" w14:textId="77777777" w:rsidR="00616C5B" w:rsidRPr="00345C01" w:rsidRDefault="00616C5B" w:rsidP="0003481B">
            <w:pPr>
              <w:keepNext/>
              <w:spacing w:before="0" w:line="240" w:lineRule="auto"/>
              <w:ind w:firstLine="0"/>
              <w:jc w:val="right"/>
              <w:rPr>
                <w:rFonts w:cs="Arial"/>
                <w:color w:val="000000"/>
              </w:rPr>
            </w:pPr>
            <w:r>
              <w:rPr>
                <w:rFonts w:cs="Arial"/>
                <w:color w:val="000000"/>
              </w:rPr>
              <w:t>94,9</w:t>
            </w:r>
            <w:r w:rsidRPr="00345C01">
              <w:rPr>
                <w:rFonts w:cs="Arial"/>
                <w:color w:val="000000"/>
              </w:rPr>
              <w:t> %</w:t>
            </w:r>
          </w:p>
        </w:tc>
      </w:tr>
      <w:tr w:rsidR="00616C5B" w:rsidRPr="00345C01" w14:paraId="5000F1F4" w14:textId="77777777">
        <w:trPr>
          <w:trHeight w:val="283"/>
        </w:trPr>
        <w:tc>
          <w:tcPr>
            <w:tcW w:w="3024" w:type="dxa"/>
            <w:shd w:val="clear" w:color="auto" w:fill="auto"/>
            <w:noWrap/>
            <w:vAlign w:val="center"/>
          </w:tcPr>
          <w:p w14:paraId="3A8A9D40" w14:textId="77777777" w:rsidR="00616C5B" w:rsidRPr="00345C01" w:rsidRDefault="00616C5B" w:rsidP="0003481B">
            <w:pPr>
              <w:keepNext/>
              <w:spacing w:before="0" w:line="240" w:lineRule="auto"/>
              <w:ind w:firstLine="0"/>
              <w:jc w:val="left"/>
              <w:rPr>
                <w:rFonts w:cs="Arial"/>
                <w:color w:val="000000"/>
              </w:rPr>
            </w:pPr>
            <w:r>
              <w:rPr>
                <w:rFonts w:cs="Arial"/>
                <w:color w:val="000000"/>
              </w:rPr>
              <w:t>Kontrola a údržba oplocení</w:t>
            </w:r>
          </w:p>
        </w:tc>
        <w:tc>
          <w:tcPr>
            <w:tcW w:w="3024" w:type="dxa"/>
            <w:shd w:val="clear" w:color="auto" w:fill="auto"/>
            <w:noWrap/>
            <w:vAlign w:val="center"/>
          </w:tcPr>
          <w:p w14:paraId="72BF6841" w14:textId="77777777" w:rsidR="00616C5B" w:rsidRPr="00345C01" w:rsidRDefault="00616C5B" w:rsidP="0003481B">
            <w:pPr>
              <w:keepNext/>
              <w:spacing w:before="0" w:line="240" w:lineRule="auto"/>
              <w:ind w:firstLine="0"/>
              <w:jc w:val="right"/>
              <w:rPr>
                <w:rFonts w:cs="Arial"/>
                <w:color w:val="000000"/>
              </w:rPr>
            </w:pPr>
            <w:r w:rsidRPr="00345C01">
              <w:rPr>
                <w:rFonts w:cs="Arial"/>
                <w:color w:val="000000"/>
              </w:rPr>
              <w:t>5</w:t>
            </w:r>
            <w:r>
              <w:rPr>
                <w:rFonts w:cs="Arial"/>
                <w:color w:val="000000"/>
              </w:rPr>
              <w:t>9</w:t>
            </w:r>
          </w:p>
        </w:tc>
        <w:tc>
          <w:tcPr>
            <w:tcW w:w="3024" w:type="dxa"/>
            <w:shd w:val="clear" w:color="auto" w:fill="auto"/>
            <w:noWrap/>
            <w:vAlign w:val="center"/>
          </w:tcPr>
          <w:p w14:paraId="340F74CF" w14:textId="77777777" w:rsidR="00616C5B" w:rsidRPr="00345C01" w:rsidRDefault="00616C5B" w:rsidP="0003481B">
            <w:pPr>
              <w:keepNext/>
              <w:spacing w:before="0" w:line="240" w:lineRule="auto"/>
              <w:ind w:firstLine="0"/>
              <w:jc w:val="right"/>
              <w:rPr>
                <w:rFonts w:cs="Arial"/>
                <w:color w:val="000000"/>
              </w:rPr>
            </w:pPr>
            <w:r w:rsidRPr="00345C01">
              <w:rPr>
                <w:rFonts w:cs="Arial"/>
                <w:color w:val="000000"/>
              </w:rPr>
              <w:t>1</w:t>
            </w:r>
            <w:r>
              <w:rPr>
                <w:rFonts w:cs="Arial"/>
                <w:color w:val="000000"/>
              </w:rPr>
              <w:t>00,0</w:t>
            </w:r>
            <w:r w:rsidRPr="00345C01">
              <w:rPr>
                <w:rFonts w:cs="Arial"/>
                <w:color w:val="000000"/>
              </w:rPr>
              <w:t> %</w:t>
            </w:r>
          </w:p>
        </w:tc>
      </w:tr>
      <w:tr w:rsidR="00616C5B" w:rsidRPr="00345C01" w14:paraId="4860FFBB" w14:textId="77777777">
        <w:trPr>
          <w:trHeight w:val="283"/>
        </w:trPr>
        <w:tc>
          <w:tcPr>
            <w:tcW w:w="3024" w:type="dxa"/>
            <w:shd w:val="clear" w:color="auto" w:fill="auto"/>
            <w:noWrap/>
            <w:vAlign w:val="center"/>
          </w:tcPr>
          <w:p w14:paraId="4F4F05CA" w14:textId="77777777" w:rsidR="00616C5B" w:rsidRPr="00345C01" w:rsidRDefault="00616C5B" w:rsidP="0003481B">
            <w:pPr>
              <w:keepNext/>
              <w:spacing w:before="0" w:line="240" w:lineRule="auto"/>
              <w:ind w:firstLine="0"/>
              <w:jc w:val="left"/>
              <w:rPr>
                <w:rFonts w:cs="Arial"/>
                <w:color w:val="000000"/>
              </w:rPr>
            </w:pPr>
            <w:r>
              <w:rPr>
                <w:rFonts w:cs="Arial"/>
                <w:color w:val="000000"/>
              </w:rPr>
              <w:t>Údržba travního porostu</w:t>
            </w:r>
          </w:p>
        </w:tc>
        <w:tc>
          <w:tcPr>
            <w:tcW w:w="3024" w:type="dxa"/>
            <w:shd w:val="clear" w:color="auto" w:fill="auto"/>
            <w:noWrap/>
            <w:vAlign w:val="center"/>
          </w:tcPr>
          <w:p w14:paraId="259E02A8" w14:textId="77777777" w:rsidR="00616C5B" w:rsidRPr="00345C01" w:rsidRDefault="00616C5B" w:rsidP="0003481B">
            <w:pPr>
              <w:keepNext/>
              <w:spacing w:before="0" w:line="240" w:lineRule="auto"/>
              <w:ind w:firstLine="0"/>
              <w:jc w:val="right"/>
              <w:rPr>
                <w:rFonts w:cs="Arial"/>
                <w:color w:val="000000"/>
              </w:rPr>
            </w:pPr>
            <w:r w:rsidRPr="00345C01">
              <w:rPr>
                <w:rFonts w:cs="Arial"/>
                <w:color w:val="000000"/>
              </w:rPr>
              <w:t>5</w:t>
            </w:r>
            <w:r>
              <w:rPr>
                <w:rFonts w:cs="Arial"/>
                <w:color w:val="000000"/>
              </w:rPr>
              <w:t>6</w:t>
            </w:r>
          </w:p>
        </w:tc>
        <w:tc>
          <w:tcPr>
            <w:tcW w:w="3024" w:type="dxa"/>
            <w:shd w:val="clear" w:color="auto" w:fill="auto"/>
            <w:noWrap/>
            <w:vAlign w:val="center"/>
          </w:tcPr>
          <w:p w14:paraId="39D8AC91" w14:textId="77777777" w:rsidR="00616C5B" w:rsidRPr="00345C01" w:rsidRDefault="00616C5B" w:rsidP="0003481B">
            <w:pPr>
              <w:keepNext/>
              <w:spacing w:before="0" w:line="240" w:lineRule="auto"/>
              <w:ind w:firstLine="0"/>
              <w:jc w:val="right"/>
              <w:rPr>
                <w:rFonts w:cs="Arial"/>
                <w:color w:val="000000"/>
              </w:rPr>
            </w:pPr>
            <w:r>
              <w:rPr>
                <w:rFonts w:cs="Arial"/>
                <w:color w:val="000000"/>
              </w:rPr>
              <w:t>94,9</w:t>
            </w:r>
            <w:r w:rsidRPr="00345C01">
              <w:rPr>
                <w:rFonts w:cs="Arial"/>
                <w:color w:val="000000"/>
              </w:rPr>
              <w:t> %</w:t>
            </w:r>
          </w:p>
        </w:tc>
      </w:tr>
      <w:tr w:rsidR="00616C5B" w:rsidRPr="00345C01" w14:paraId="2AFB73CF" w14:textId="77777777">
        <w:trPr>
          <w:trHeight w:val="283"/>
        </w:trPr>
        <w:tc>
          <w:tcPr>
            <w:tcW w:w="3024" w:type="dxa"/>
            <w:shd w:val="clear" w:color="auto" w:fill="auto"/>
            <w:noWrap/>
            <w:vAlign w:val="center"/>
          </w:tcPr>
          <w:p w14:paraId="4C3F8698" w14:textId="77777777" w:rsidR="00616C5B" w:rsidRPr="00345C01" w:rsidRDefault="00616C5B" w:rsidP="0003481B">
            <w:pPr>
              <w:keepNext/>
              <w:spacing w:before="0" w:line="240" w:lineRule="auto"/>
              <w:ind w:firstLine="0"/>
              <w:jc w:val="left"/>
              <w:rPr>
                <w:rFonts w:cs="Arial"/>
                <w:color w:val="000000"/>
              </w:rPr>
            </w:pPr>
            <w:r>
              <w:rPr>
                <w:rFonts w:cs="Arial"/>
                <w:color w:val="000000"/>
              </w:rPr>
              <w:t>Přítomnost pastevce</w:t>
            </w:r>
          </w:p>
        </w:tc>
        <w:tc>
          <w:tcPr>
            <w:tcW w:w="3024" w:type="dxa"/>
            <w:shd w:val="clear" w:color="auto" w:fill="auto"/>
            <w:noWrap/>
            <w:vAlign w:val="center"/>
          </w:tcPr>
          <w:p w14:paraId="3C1B5102" w14:textId="77777777" w:rsidR="00616C5B" w:rsidRPr="00345C01" w:rsidRDefault="00616C5B" w:rsidP="0003481B">
            <w:pPr>
              <w:keepNext/>
              <w:spacing w:before="0" w:line="240" w:lineRule="auto"/>
              <w:ind w:firstLine="0"/>
              <w:jc w:val="right"/>
              <w:rPr>
                <w:rFonts w:cs="Arial"/>
                <w:color w:val="000000"/>
              </w:rPr>
            </w:pPr>
            <w:r>
              <w:rPr>
                <w:rFonts w:cs="Arial"/>
                <w:color w:val="000000"/>
              </w:rPr>
              <w:t>5</w:t>
            </w:r>
          </w:p>
        </w:tc>
        <w:tc>
          <w:tcPr>
            <w:tcW w:w="3024" w:type="dxa"/>
            <w:shd w:val="clear" w:color="auto" w:fill="auto"/>
            <w:noWrap/>
            <w:vAlign w:val="center"/>
          </w:tcPr>
          <w:p w14:paraId="7EFF80C1" w14:textId="0F837211" w:rsidR="00616C5B" w:rsidRPr="00345C01" w:rsidRDefault="00616C5B" w:rsidP="0003481B">
            <w:pPr>
              <w:keepNext/>
              <w:spacing w:before="0" w:line="240" w:lineRule="auto"/>
              <w:ind w:firstLine="0"/>
              <w:jc w:val="right"/>
              <w:rPr>
                <w:rFonts w:cs="Arial"/>
                <w:color w:val="000000"/>
              </w:rPr>
            </w:pPr>
            <w:r>
              <w:rPr>
                <w:rFonts w:cs="Arial"/>
                <w:color w:val="000000"/>
              </w:rPr>
              <w:t>8</w:t>
            </w:r>
            <w:r w:rsidRPr="00345C01">
              <w:rPr>
                <w:rFonts w:cs="Arial"/>
                <w:color w:val="000000"/>
              </w:rPr>
              <w:t>,</w:t>
            </w:r>
            <w:r>
              <w:rPr>
                <w:rFonts w:cs="Arial"/>
                <w:color w:val="000000"/>
              </w:rPr>
              <w:t>5</w:t>
            </w:r>
            <w:r w:rsidRPr="00345C01">
              <w:rPr>
                <w:rFonts w:cs="Arial"/>
                <w:color w:val="000000"/>
              </w:rPr>
              <w:t> %</w:t>
            </w:r>
          </w:p>
        </w:tc>
      </w:tr>
      <w:tr w:rsidR="00616C5B" w:rsidRPr="00345C01" w14:paraId="44ECC4EE" w14:textId="77777777">
        <w:trPr>
          <w:trHeight w:val="283"/>
        </w:trPr>
        <w:tc>
          <w:tcPr>
            <w:tcW w:w="3024" w:type="dxa"/>
            <w:shd w:val="clear" w:color="auto" w:fill="auto"/>
            <w:noWrap/>
            <w:vAlign w:val="center"/>
          </w:tcPr>
          <w:p w14:paraId="0B96A43E" w14:textId="77777777" w:rsidR="00616C5B" w:rsidRPr="00345C01" w:rsidRDefault="00616C5B" w:rsidP="0003481B">
            <w:pPr>
              <w:keepNext/>
              <w:spacing w:before="0" w:line="240" w:lineRule="auto"/>
              <w:ind w:firstLine="0"/>
              <w:jc w:val="left"/>
              <w:rPr>
                <w:rFonts w:cs="Arial"/>
                <w:color w:val="000000"/>
              </w:rPr>
            </w:pPr>
            <w:r>
              <w:rPr>
                <w:rFonts w:cs="Arial"/>
                <w:color w:val="000000"/>
              </w:rPr>
              <w:t>Přehánění zvířat</w:t>
            </w:r>
          </w:p>
        </w:tc>
        <w:tc>
          <w:tcPr>
            <w:tcW w:w="3024" w:type="dxa"/>
            <w:shd w:val="clear" w:color="auto" w:fill="auto"/>
            <w:noWrap/>
            <w:vAlign w:val="center"/>
          </w:tcPr>
          <w:p w14:paraId="2D27A269" w14:textId="77777777" w:rsidR="00616C5B" w:rsidRPr="00345C01" w:rsidRDefault="00616C5B" w:rsidP="0003481B">
            <w:pPr>
              <w:keepNext/>
              <w:spacing w:before="0" w:line="240" w:lineRule="auto"/>
              <w:ind w:firstLine="0"/>
              <w:jc w:val="right"/>
              <w:rPr>
                <w:rFonts w:cs="Arial"/>
                <w:color w:val="000000"/>
              </w:rPr>
            </w:pPr>
            <w:r>
              <w:rPr>
                <w:rFonts w:cs="Arial"/>
                <w:color w:val="000000"/>
              </w:rPr>
              <w:t>48</w:t>
            </w:r>
          </w:p>
        </w:tc>
        <w:tc>
          <w:tcPr>
            <w:tcW w:w="3024" w:type="dxa"/>
            <w:shd w:val="clear" w:color="auto" w:fill="auto"/>
            <w:noWrap/>
            <w:vAlign w:val="center"/>
          </w:tcPr>
          <w:p w14:paraId="648E5F59" w14:textId="77777777" w:rsidR="00616C5B" w:rsidRPr="00345C01" w:rsidRDefault="00616C5B" w:rsidP="0003481B">
            <w:pPr>
              <w:keepNext/>
              <w:spacing w:before="0" w:line="240" w:lineRule="auto"/>
              <w:ind w:firstLine="0"/>
              <w:jc w:val="right"/>
              <w:rPr>
                <w:rFonts w:cs="Arial"/>
                <w:color w:val="000000"/>
              </w:rPr>
            </w:pPr>
            <w:r>
              <w:rPr>
                <w:rFonts w:cs="Arial"/>
                <w:color w:val="000000"/>
              </w:rPr>
              <w:t>81</w:t>
            </w:r>
            <w:r w:rsidRPr="00345C01">
              <w:rPr>
                <w:rFonts w:cs="Arial"/>
                <w:color w:val="000000"/>
              </w:rPr>
              <w:t>,</w:t>
            </w:r>
            <w:r>
              <w:rPr>
                <w:rFonts w:cs="Arial"/>
                <w:color w:val="000000"/>
              </w:rPr>
              <w:t>4</w:t>
            </w:r>
            <w:r w:rsidRPr="00345C01">
              <w:rPr>
                <w:rFonts w:cs="Arial"/>
                <w:color w:val="000000"/>
              </w:rPr>
              <w:t> %</w:t>
            </w:r>
          </w:p>
        </w:tc>
      </w:tr>
    </w:tbl>
    <w:p w14:paraId="4A4BB201" w14:textId="77777777" w:rsidR="00616C5B" w:rsidRDefault="00616C5B" w:rsidP="00616C5B">
      <w:pPr>
        <w:pStyle w:val="Zdroje"/>
        <w:spacing w:after="240"/>
      </w:pPr>
      <w:r>
        <w:t>Zdroj: Dotazníkové šetření u chovatelů hospodářských zvířat v oblastech s výskytem vlka, ÚZEI 2023</w:t>
      </w:r>
    </w:p>
    <w:p w14:paraId="54F8BE82" w14:textId="77777777" w:rsidR="00616C5B" w:rsidRPr="008E737E" w:rsidRDefault="00616C5B" w:rsidP="00616C5B">
      <w:r>
        <w:lastRenderedPageBreak/>
        <w:t>Z uvedených typů opatření, která chovatelé hospodářských zvířat provádějí, se tři vztahují převážně k výměře, na které tyto činnosti probíhají, a zbylé dvě, tj</w:t>
      </w:r>
      <w:r w:rsidRPr="00755F2E">
        <w:t>. přítomnost pastevce</w:t>
      </w:r>
      <w:r>
        <w:t xml:space="preserve"> a přehánění zvířat, jsou činnosti, které jsou určitou měrou odvislé také od počtu chovaných zvířat. Činnosti související s oplocením však vazbu k počtu chovaných zvířat nemají, neboť údržbu je nutné provádět nezávisle na tom, zda je počet pasených zvířat v desítkách či stovkách.</w:t>
      </w:r>
    </w:p>
    <w:p w14:paraId="65B15B83" w14:textId="27FFD8EB" w:rsidR="00616C5B" w:rsidRDefault="00616C5B" w:rsidP="00616C5B">
      <w:r>
        <w:t>I</w:t>
      </w:r>
      <w:r w:rsidR="000F171C">
        <w:t> </w:t>
      </w:r>
      <w:r>
        <w:t>přesto, že vztah některých činností k počtu zvířat neshledáváme, byly jednotlivé odpovědi na časovou náročnost</w:t>
      </w:r>
      <w:r w:rsidDel="0012780C">
        <w:t xml:space="preserve"> </w:t>
      </w:r>
      <w:r>
        <w:t>vždy přepočítány dvojím způsobem – na 1 velkou dobytčí jednotku (při započítání ovcí, koz a skotu) a dále na 1 hektar výměry daného respondenta, na které provádí příslušná opatření. Rozdíl hodnot způsobený změnou organizace pastvy (tedy rozdíl mezi obdobím před výskytem vlka a obdobím současným) byl poté brán v úvahu do celkové kalkulace daného opatření. Výsledná suma je tedy vztažena jednak na 1 VDJ bez ohledu na výměru, jednak na 1 hektar pastviny a v tomto případě není brán v potaz počet pasených zvířat.</w:t>
      </w:r>
    </w:p>
    <w:p w14:paraId="6010AC12" w14:textId="77777777" w:rsidR="00616C5B" w:rsidRDefault="00616C5B" w:rsidP="00616C5B">
      <w:pPr>
        <w:rPr>
          <w:color w:val="AEAAAA"/>
        </w:rPr>
      </w:pPr>
    </w:p>
    <w:p w14:paraId="79D4276B" w14:textId="77777777" w:rsidR="00616C5B" w:rsidRDefault="00616C5B" w:rsidP="00616C5B">
      <w:pPr>
        <w:rPr>
          <w:b/>
          <w:bCs/>
          <w:caps/>
          <w:u w:val="single"/>
        </w:rPr>
      </w:pPr>
      <w:bookmarkStart w:id="41" w:name="_Toc59005063"/>
      <w:r w:rsidRPr="001F249C">
        <w:rPr>
          <w:b/>
          <w:caps/>
          <w:u w:val="single"/>
        </w:rPr>
        <w:t>Souhrn všech nákladů na pastvu s využitím oplocení</w:t>
      </w:r>
      <w:bookmarkEnd w:id="41"/>
    </w:p>
    <w:p w14:paraId="5AF93D70" w14:textId="53C2B076" w:rsidR="00616C5B" w:rsidRDefault="00616C5B" w:rsidP="00616C5B">
      <w:r>
        <w:t>Podle respondentů byly celkové provozní náklady na organizaci pastvy v období před výskytem vlka cca třetinové. Změnila se i</w:t>
      </w:r>
      <w:r w:rsidR="000F171C">
        <w:t> </w:t>
      </w:r>
      <w:r>
        <w:t xml:space="preserve">četnost provádění jednotlivých opatření, byť tato změna není dle dotazníkového šetření nějak zásadní. </w:t>
      </w:r>
      <w:r>
        <w:fldChar w:fldCharType="begin"/>
      </w:r>
      <w:r>
        <w:instrText xml:space="preserve"> REF _Ref137641486 \h </w:instrText>
      </w:r>
      <w:r>
        <w:fldChar w:fldCharType="separate"/>
      </w:r>
      <w:r w:rsidR="00486DB8">
        <w:t>Tab. </w:t>
      </w:r>
      <w:r w:rsidR="00486DB8">
        <w:rPr>
          <w:noProof/>
        </w:rPr>
        <w:t>3</w:t>
      </w:r>
      <w:r>
        <w:fldChar w:fldCharType="end"/>
      </w:r>
      <w:r>
        <w:t xml:space="preserve"> zobrazuje porovnání jednotlivých typů opatření. Je vidět, že u všech typů opatření vzrostl počet subjektů, kteří tuto činnost vykonávají.</w:t>
      </w:r>
    </w:p>
    <w:p w14:paraId="26B6DE69" w14:textId="4F2801C8" w:rsidR="00616C5B" w:rsidRDefault="00616C5B" w:rsidP="00616C5B">
      <w:pPr>
        <w:pStyle w:val="Titulek"/>
      </w:pPr>
      <w:bookmarkStart w:id="42" w:name="_Ref137641486"/>
      <w:bookmarkStart w:id="43" w:name="_Toc138062288"/>
      <w:r>
        <w:t>Tab. </w:t>
      </w:r>
      <w:r w:rsidR="00F41AB0">
        <w:fldChar w:fldCharType="begin"/>
      </w:r>
      <w:r w:rsidR="00F41AB0">
        <w:instrText xml:space="preserve"> SEQ Tab. \* ARABIC </w:instrText>
      </w:r>
      <w:r w:rsidR="00F41AB0">
        <w:fldChar w:fldCharType="separate"/>
      </w:r>
      <w:r w:rsidR="00486DB8">
        <w:rPr>
          <w:noProof/>
        </w:rPr>
        <w:t>3</w:t>
      </w:r>
      <w:r w:rsidR="00F41AB0">
        <w:rPr>
          <w:noProof/>
        </w:rPr>
        <w:fldChar w:fldCharType="end"/>
      </w:r>
      <w:bookmarkEnd w:id="42"/>
      <w:r>
        <w:t xml:space="preserve"> </w:t>
      </w:r>
      <w:r w:rsidRPr="006E666F">
        <w:t>Četnost počtu opatření se zvýšenou časovou náročností při pastvě s využitím oplocení</w:t>
      </w:r>
      <w:r>
        <w:t xml:space="preserve"> v období před výskytem vlka a v současnosti</w:t>
      </w:r>
      <w:bookmarkEnd w:id="43"/>
    </w:p>
    <w:tbl>
      <w:tblPr>
        <w:tblW w:w="9072" w:type="dxa"/>
        <w:tblLayout w:type="fixed"/>
        <w:tblCellMar>
          <w:left w:w="70" w:type="dxa"/>
          <w:right w:w="70" w:type="dxa"/>
        </w:tblCellMar>
        <w:tblLook w:val="04A0" w:firstRow="1" w:lastRow="0" w:firstColumn="1" w:lastColumn="0" w:noHBand="0" w:noVBand="1"/>
      </w:tblPr>
      <w:tblGrid>
        <w:gridCol w:w="2972"/>
        <w:gridCol w:w="1559"/>
        <w:gridCol w:w="1491"/>
        <w:gridCol w:w="1628"/>
        <w:gridCol w:w="1422"/>
      </w:tblGrid>
      <w:tr w:rsidR="00616C5B" w:rsidRPr="00621976" w14:paraId="2A27C9E7" w14:textId="77777777" w:rsidTr="0003481B">
        <w:trPr>
          <w:trHeight w:val="255"/>
        </w:trPr>
        <w:tc>
          <w:tcPr>
            <w:tcW w:w="2972" w:type="dxa"/>
            <w:vMerge w:val="restart"/>
            <w:tcBorders>
              <w:top w:val="single" w:sz="4" w:space="0" w:color="auto"/>
              <w:left w:val="single" w:sz="4" w:space="0" w:color="auto"/>
              <w:right w:val="single" w:sz="4" w:space="0" w:color="auto"/>
            </w:tcBorders>
            <w:shd w:val="clear" w:color="000000" w:fill="BDD6EE"/>
            <w:noWrap/>
            <w:vAlign w:val="center"/>
            <w:hideMark/>
          </w:tcPr>
          <w:p w14:paraId="507F2B20" w14:textId="77777777" w:rsidR="00616C5B" w:rsidRPr="00621976" w:rsidRDefault="00616C5B" w:rsidP="0003481B">
            <w:pPr>
              <w:spacing w:before="0" w:line="240" w:lineRule="auto"/>
              <w:ind w:firstLine="0"/>
              <w:jc w:val="left"/>
              <w:rPr>
                <w:rFonts w:cs="Arial"/>
                <w:b/>
                <w:bCs/>
                <w:color w:val="000000"/>
              </w:rPr>
            </w:pPr>
            <w:r>
              <w:rPr>
                <w:rFonts w:cs="Arial"/>
                <w:b/>
                <w:bCs/>
                <w:color w:val="000000"/>
              </w:rPr>
              <w:t>Typ opatření</w:t>
            </w:r>
          </w:p>
        </w:tc>
        <w:tc>
          <w:tcPr>
            <w:tcW w:w="3050" w:type="dxa"/>
            <w:gridSpan w:val="2"/>
            <w:tcBorders>
              <w:top w:val="single" w:sz="4" w:space="0" w:color="auto"/>
              <w:left w:val="nil"/>
              <w:bottom w:val="single" w:sz="4" w:space="0" w:color="auto"/>
              <w:right w:val="single" w:sz="4" w:space="0" w:color="auto"/>
            </w:tcBorders>
            <w:shd w:val="clear" w:color="000000" w:fill="BDD6EE"/>
            <w:noWrap/>
            <w:vAlign w:val="center"/>
            <w:hideMark/>
          </w:tcPr>
          <w:p w14:paraId="39A64151" w14:textId="77777777" w:rsidR="00616C5B" w:rsidRPr="00621976" w:rsidRDefault="00616C5B" w:rsidP="0003481B">
            <w:pPr>
              <w:spacing w:before="0" w:line="240" w:lineRule="auto"/>
              <w:ind w:firstLine="0"/>
              <w:jc w:val="center"/>
              <w:rPr>
                <w:rFonts w:cs="Arial"/>
                <w:b/>
                <w:bCs/>
                <w:color w:val="000000"/>
              </w:rPr>
            </w:pPr>
            <w:r>
              <w:rPr>
                <w:rFonts w:cs="Arial"/>
                <w:b/>
                <w:bCs/>
                <w:color w:val="000000"/>
              </w:rPr>
              <w:t>Před výskytem vlka</w:t>
            </w:r>
          </w:p>
        </w:tc>
        <w:tc>
          <w:tcPr>
            <w:tcW w:w="3050" w:type="dxa"/>
            <w:gridSpan w:val="2"/>
            <w:tcBorders>
              <w:top w:val="single" w:sz="4" w:space="0" w:color="auto"/>
              <w:left w:val="nil"/>
              <w:bottom w:val="single" w:sz="4" w:space="0" w:color="auto"/>
              <w:right w:val="single" w:sz="4" w:space="0" w:color="auto"/>
            </w:tcBorders>
            <w:shd w:val="clear" w:color="000000" w:fill="BDD6EE"/>
            <w:noWrap/>
            <w:vAlign w:val="center"/>
            <w:hideMark/>
          </w:tcPr>
          <w:p w14:paraId="3A24A056" w14:textId="77777777" w:rsidR="00616C5B" w:rsidRPr="00621976" w:rsidRDefault="00616C5B" w:rsidP="0003481B">
            <w:pPr>
              <w:spacing w:before="0" w:line="240" w:lineRule="auto"/>
              <w:ind w:firstLine="0"/>
              <w:jc w:val="center"/>
              <w:rPr>
                <w:rFonts w:cs="Arial"/>
                <w:b/>
                <w:bCs/>
                <w:color w:val="000000"/>
              </w:rPr>
            </w:pPr>
            <w:r>
              <w:rPr>
                <w:rFonts w:cs="Arial"/>
                <w:b/>
                <w:bCs/>
                <w:color w:val="000000"/>
              </w:rPr>
              <w:t>V současnosti</w:t>
            </w:r>
          </w:p>
        </w:tc>
      </w:tr>
      <w:tr w:rsidR="00616C5B" w:rsidRPr="00621976" w14:paraId="308187C2" w14:textId="77777777" w:rsidTr="0003481B">
        <w:trPr>
          <w:trHeight w:val="255"/>
        </w:trPr>
        <w:tc>
          <w:tcPr>
            <w:tcW w:w="2972" w:type="dxa"/>
            <w:vMerge/>
            <w:tcBorders>
              <w:left w:val="single" w:sz="4" w:space="0" w:color="auto"/>
              <w:bottom w:val="single" w:sz="4" w:space="0" w:color="auto"/>
              <w:right w:val="single" w:sz="4" w:space="0" w:color="auto"/>
            </w:tcBorders>
            <w:shd w:val="clear" w:color="000000" w:fill="BDD6EE"/>
            <w:noWrap/>
            <w:vAlign w:val="center"/>
          </w:tcPr>
          <w:p w14:paraId="53796168" w14:textId="77777777" w:rsidR="00616C5B" w:rsidRPr="00621976" w:rsidRDefault="00616C5B" w:rsidP="0003481B">
            <w:pPr>
              <w:spacing w:before="0" w:line="240" w:lineRule="auto"/>
              <w:ind w:firstLine="0"/>
              <w:jc w:val="center"/>
              <w:rPr>
                <w:rFonts w:cs="Arial"/>
                <w:b/>
                <w:bCs/>
                <w:color w:val="000000"/>
              </w:rPr>
            </w:pPr>
          </w:p>
        </w:tc>
        <w:tc>
          <w:tcPr>
            <w:tcW w:w="1559" w:type="dxa"/>
            <w:tcBorders>
              <w:top w:val="single" w:sz="4" w:space="0" w:color="auto"/>
              <w:left w:val="nil"/>
              <w:bottom w:val="single" w:sz="4" w:space="0" w:color="auto"/>
              <w:right w:val="single" w:sz="4" w:space="0" w:color="auto"/>
            </w:tcBorders>
            <w:shd w:val="clear" w:color="000000" w:fill="BDD6EE"/>
            <w:noWrap/>
            <w:vAlign w:val="center"/>
          </w:tcPr>
          <w:p w14:paraId="729ABF59" w14:textId="77777777" w:rsidR="00616C5B" w:rsidRPr="00621976" w:rsidRDefault="00616C5B" w:rsidP="0003481B">
            <w:pPr>
              <w:spacing w:before="0" w:line="240" w:lineRule="auto"/>
              <w:ind w:firstLine="0"/>
              <w:jc w:val="center"/>
              <w:rPr>
                <w:rFonts w:cs="Arial"/>
                <w:b/>
                <w:bCs/>
                <w:color w:val="000000"/>
              </w:rPr>
            </w:pPr>
            <w:r>
              <w:rPr>
                <w:rFonts w:cs="Arial"/>
                <w:b/>
                <w:bCs/>
                <w:color w:val="000000"/>
              </w:rPr>
              <w:t>p</w:t>
            </w:r>
            <w:r w:rsidRPr="00621976">
              <w:rPr>
                <w:rFonts w:cs="Arial"/>
                <w:b/>
                <w:bCs/>
                <w:color w:val="000000"/>
              </w:rPr>
              <w:t xml:space="preserve">očet </w:t>
            </w:r>
            <w:r>
              <w:rPr>
                <w:rFonts w:cs="Arial"/>
                <w:b/>
                <w:bCs/>
                <w:color w:val="000000"/>
              </w:rPr>
              <w:t>subjektů</w:t>
            </w:r>
          </w:p>
        </w:tc>
        <w:tc>
          <w:tcPr>
            <w:tcW w:w="1491" w:type="dxa"/>
            <w:tcBorders>
              <w:top w:val="single" w:sz="4" w:space="0" w:color="auto"/>
              <w:left w:val="nil"/>
              <w:bottom w:val="single" w:sz="4" w:space="0" w:color="auto"/>
              <w:right w:val="single" w:sz="4" w:space="0" w:color="auto"/>
            </w:tcBorders>
            <w:shd w:val="clear" w:color="000000" w:fill="BDD6EE"/>
            <w:noWrap/>
            <w:vAlign w:val="center"/>
          </w:tcPr>
          <w:p w14:paraId="35ABC11A" w14:textId="77777777" w:rsidR="00616C5B" w:rsidRPr="00621976" w:rsidRDefault="00616C5B" w:rsidP="0003481B">
            <w:pPr>
              <w:spacing w:before="0" w:line="240" w:lineRule="auto"/>
              <w:ind w:firstLine="0"/>
              <w:jc w:val="center"/>
              <w:rPr>
                <w:rFonts w:cs="Arial"/>
                <w:b/>
                <w:bCs/>
                <w:color w:val="000000"/>
              </w:rPr>
            </w:pPr>
            <w:r>
              <w:rPr>
                <w:rFonts w:cs="Arial"/>
                <w:b/>
                <w:bCs/>
                <w:color w:val="000000"/>
              </w:rPr>
              <w:t>v %</w:t>
            </w:r>
          </w:p>
        </w:tc>
        <w:tc>
          <w:tcPr>
            <w:tcW w:w="1628" w:type="dxa"/>
            <w:tcBorders>
              <w:top w:val="single" w:sz="4" w:space="0" w:color="auto"/>
              <w:left w:val="nil"/>
              <w:bottom w:val="single" w:sz="4" w:space="0" w:color="auto"/>
              <w:right w:val="single" w:sz="4" w:space="0" w:color="auto"/>
            </w:tcBorders>
            <w:shd w:val="clear" w:color="000000" w:fill="BDD6EE"/>
            <w:noWrap/>
            <w:vAlign w:val="center"/>
          </w:tcPr>
          <w:p w14:paraId="191BE162" w14:textId="77777777" w:rsidR="00616C5B" w:rsidRPr="00621976" w:rsidRDefault="00616C5B" w:rsidP="0003481B">
            <w:pPr>
              <w:spacing w:before="0" w:line="240" w:lineRule="auto"/>
              <w:ind w:firstLine="0"/>
              <w:jc w:val="center"/>
              <w:rPr>
                <w:rFonts w:cs="Arial"/>
                <w:b/>
                <w:bCs/>
                <w:color w:val="000000"/>
              </w:rPr>
            </w:pPr>
            <w:r>
              <w:rPr>
                <w:rFonts w:cs="Arial"/>
                <w:b/>
                <w:bCs/>
                <w:color w:val="000000"/>
              </w:rPr>
              <w:t>p</w:t>
            </w:r>
            <w:r w:rsidRPr="00621976">
              <w:rPr>
                <w:rFonts w:cs="Arial"/>
                <w:b/>
                <w:bCs/>
                <w:color w:val="000000"/>
              </w:rPr>
              <w:t xml:space="preserve">očet </w:t>
            </w:r>
            <w:r>
              <w:rPr>
                <w:rFonts w:cs="Arial"/>
                <w:b/>
                <w:bCs/>
                <w:color w:val="000000"/>
              </w:rPr>
              <w:t>subjektů</w:t>
            </w:r>
          </w:p>
        </w:tc>
        <w:tc>
          <w:tcPr>
            <w:tcW w:w="1422" w:type="dxa"/>
            <w:tcBorders>
              <w:top w:val="single" w:sz="4" w:space="0" w:color="auto"/>
              <w:left w:val="nil"/>
              <w:bottom w:val="single" w:sz="4" w:space="0" w:color="auto"/>
              <w:right w:val="single" w:sz="4" w:space="0" w:color="auto"/>
            </w:tcBorders>
            <w:shd w:val="clear" w:color="000000" w:fill="BDD6EE"/>
            <w:noWrap/>
            <w:vAlign w:val="center"/>
          </w:tcPr>
          <w:p w14:paraId="5DA22565" w14:textId="77777777" w:rsidR="00616C5B" w:rsidRPr="00621976" w:rsidRDefault="00616C5B" w:rsidP="0003481B">
            <w:pPr>
              <w:spacing w:before="0" w:line="240" w:lineRule="auto"/>
              <w:ind w:firstLine="0"/>
              <w:jc w:val="center"/>
              <w:rPr>
                <w:rFonts w:cs="Arial"/>
                <w:b/>
                <w:bCs/>
                <w:color w:val="000000"/>
              </w:rPr>
            </w:pPr>
            <w:r>
              <w:rPr>
                <w:rFonts w:cs="Arial"/>
                <w:b/>
                <w:bCs/>
                <w:color w:val="000000"/>
              </w:rPr>
              <w:t>v %</w:t>
            </w:r>
          </w:p>
        </w:tc>
      </w:tr>
      <w:tr w:rsidR="00616C5B" w:rsidRPr="00621976" w14:paraId="22C840CB" w14:textId="77777777" w:rsidTr="0003481B">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441DED0" w14:textId="77777777" w:rsidR="00616C5B" w:rsidRPr="00621976" w:rsidRDefault="00616C5B" w:rsidP="0003481B">
            <w:pPr>
              <w:spacing w:before="0" w:line="240" w:lineRule="auto"/>
              <w:ind w:firstLine="0"/>
              <w:jc w:val="left"/>
              <w:rPr>
                <w:rFonts w:cs="Arial"/>
                <w:color w:val="000000"/>
              </w:rPr>
            </w:pPr>
            <w:r w:rsidRPr="00621976">
              <w:rPr>
                <w:rFonts w:cs="Arial"/>
                <w:color w:val="000000"/>
              </w:rPr>
              <w:t>Instalace oplocení, manipulace</w:t>
            </w:r>
          </w:p>
        </w:tc>
        <w:tc>
          <w:tcPr>
            <w:tcW w:w="1559" w:type="dxa"/>
            <w:tcBorders>
              <w:top w:val="nil"/>
              <w:left w:val="nil"/>
              <w:bottom w:val="single" w:sz="4" w:space="0" w:color="auto"/>
              <w:right w:val="single" w:sz="4" w:space="0" w:color="auto"/>
            </w:tcBorders>
            <w:shd w:val="clear" w:color="auto" w:fill="auto"/>
            <w:noWrap/>
            <w:vAlign w:val="center"/>
            <w:hideMark/>
          </w:tcPr>
          <w:p w14:paraId="1E0DBA64"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52</w:t>
            </w:r>
          </w:p>
        </w:tc>
        <w:tc>
          <w:tcPr>
            <w:tcW w:w="1491" w:type="dxa"/>
            <w:tcBorders>
              <w:top w:val="nil"/>
              <w:left w:val="nil"/>
              <w:bottom w:val="single" w:sz="4" w:space="0" w:color="auto"/>
              <w:right w:val="single" w:sz="4" w:space="0" w:color="auto"/>
            </w:tcBorders>
            <w:shd w:val="clear" w:color="auto" w:fill="auto"/>
            <w:noWrap/>
            <w:vAlign w:val="center"/>
            <w:hideMark/>
          </w:tcPr>
          <w:p w14:paraId="0FB4464E"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88,1</w:t>
            </w:r>
          </w:p>
        </w:tc>
        <w:tc>
          <w:tcPr>
            <w:tcW w:w="1628" w:type="dxa"/>
            <w:tcBorders>
              <w:top w:val="nil"/>
              <w:left w:val="nil"/>
              <w:bottom w:val="single" w:sz="4" w:space="0" w:color="auto"/>
              <w:right w:val="single" w:sz="4" w:space="0" w:color="auto"/>
            </w:tcBorders>
            <w:shd w:val="clear" w:color="auto" w:fill="auto"/>
            <w:noWrap/>
            <w:vAlign w:val="center"/>
            <w:hideMark/>
          </w:tcPr>
          <w:p w14:paraId="11F9C5C0"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56</w:t>
            </w:r>
          </w:p>
        </w:tc>
        <w:tc>
          <w:tcPr>
            <w:tcW w:w="1422" w:type="dxa"/>
            <w:tcBorders>
              <w:top w:val="nil"/>
              <w:left w:val="nil"/>
              <w:bottom w:val="single" w:sz="4" w:space="0" w:color="auto"/>
              <w:right w:val="single" w:sz="4" w:space="0" w:color="auto"/>
            </w:tcBorders>
            <w:shd w:val="clear" w:color="auto" w:fill="auto"/>
            <w:noWrap/>
            <w:vAlign w:val="center"/>
            <w:hideMark/>
          </w:tcPr>
          <w:p w14:paraId="36241F0F"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94,9</w:t>
            </w:r>
          </w:p>
        </w:tc>
      </w:tr>
      <w:tr w:rsidR="00616C5B" w:rsidRPr="00621976" w14:paraId="5AAB5331" w14:textId="77777777" w:rsidTr="0003481B">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76A6404" w14:textId="77777777" w:rsidR="00616C5B" w:rsidRPr="00621976" w:rsidRDefault="00616C5B" w:rsidP="0003481B">
            <w:pPr>
              <w:spacing w:before="0" w:line="240" w:lineRule="auto"/>
              <w:ind w:firstLine="0"/>
              <w:jc w:val="left"/>
              <w:rPr>
                <w:rFonts w:cs="Arial"/>
                <w:color w:val="000000"/>
              </w:rPr>
            </w:pPr>
            <w:r w:rsidRPr="00621976">
              <w:rPr>
                <w:rFonts w:cs="Arial"/>
                <w:color w:val="000000"/>
              </w:rPr>
              <w:t>Kontrola a údržba oplocení</w:t>
            </w:r>
          </w:p>
        </w:tc>
        <w:tc>
          <w:tcPr>
            <w:tcW w:w="1559" w:type="dxa"/>
            <w:tcBorders>
              <w:top w:val="nil"/>
              <w:left w:val="nil"/>
              <w:bottom w:val="single" w:sz="4" w:space="0" w:color="auto"/>
              <w:right w:val="single" w:sz="4" w:space="0" w:color="auto"/>
            </w:tcBorders>
            <w:shd w:val="clear" w:color="auto" w:fill="auto"/>
            <w:noWrap/>
            <w:vAlign w:val="center"/>
            <w:hideMark/>
          </w:tcPr>
          <w:p w14:paraId="478BD71A"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58</w:t>
            </w:r>
          </w:p>
        </w:tc>
        <w:tc>
          <w:tcPr>
            <w:tcW w:w="1491" w:type="dxa"/>
            <w:tcBorders>
              <w:top w:val="nil"/>
              <w:left w:val="nil"/>
              <w:bottom w:val="single" w:sz="4" w:space="0" w:color="auto"/>
              <w:right w:val="single" w:sz="4" w:space="0" w:color="auto"/>
            </w:tcBorders>
            <w:shd w:val="clear" w:color="auto" w:fill="auto"/>
            <w:noWrap/>
            <w:vAlign w:val="center"/>
            <w:hideMark/>
          </w:tcPr>
          <w:p w14:paraId="5AC7DEC7"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98,3</w:t>
            </w:r>
          </w:p>
        </w:tc>
        <w:tc>
          <w:tcPr>
            <w:tcW w:w="1628" w:type="dxa"/>
            <w:tcBorders>
              <w:top w:val="nil"/>
              <w:left w:val="nil"/>
              <w:bottom w:val="single" w:sz="4" w:space="0" w:color="auto"/>
              <w:right w:val="single" w:sz="4" w:space="0" w:color="auto"/>
            </w:tcBorders>
            <w:shd w:val="clear" w:color="auto" w:fill="auto"/>
            <w:noWrap/>
            <w:vAlign w:val="center"/>
            <w:hideMark/>
          </w:tcPr>
          <w:p w14:paraId="40BA6C6F"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59</w:t>
            </w:r>
          </w:p>
        </w:tc>
        <w:tc>
          <w:tcPr>
            <w:tcW w:w="1422" w:type="dxa"/>
            <w:tcBorders>
              <w:top w:val="nil"/>
              <w:left w:val="nil"/>
              <w:bottom w:val="single" w:sz="4" w:space="0" w:color="auto"/>
              <w:right w:val="single" w:sz="4" w:space="0" w:color="auto"/>
            </w:tcBorders>
            <w:shd w:val="clear" w:color="auto" w:fill="auto"/>
            <w:noWrap/>
            <w:vAlign w:val="center"/>
            <w:hideMark/>
          </w:tcPr>
          <w:p w14:paraId="4ADEA6A1"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100,0</w:t>
            </w:r>
          </w:p>
        </w:tc>
      </w:tr>
      <w:tr w:rsidR="00616C5B" w:rsidRPr="00621976" w14:paraId="724ECF3F" w14:textId="77777777" w:rsidTr="0003481B">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9A35D6F" w14:textId="77777777" w:rsidR="00616C5B" w:rsidRPr="00621976" w:rsidRDefault="00616C5B" w:rsidP="0003481B">
            <w:pPr>
              <w:spacing w:before="0" w:line="240" w:lineRule="auto"/>
              <w:ind w:firstLine="0"/>
              <w:jc w:val="left"/>
              <w:rPr>
                <w:rFonts w:cs="Arial"/>
                <w:color w:val="000000"/>
              </w:rPr>
            </w:pPr>
            <w:r w:rsidRPr="00621976">
              <w:rPr>
                <w:rFonts w:cs="Arial"/>
                <w:color w:val="000000"/>
              </w:rPr>
              <w:t>Údržba travního porostu</w:t>
            </w:r>
          </w:p>
        </w:tc>
        <w:tc>
          <w:tcPr>
            <w:tcW w:w="1559" w:type="dxa"/>
            <w:tcBorders>
              <w:top w:val="nil"/>
              <w:left w:val="nil"/>
              <w:bottom w:val="single" w:sz="4" w:space="0" w:color="auto"/>
              <w:right w:val="single" w:sz="4" w:space="0" w:color="auto"/>
            </w:tcBorders>
            <w:shd w:val="clear" w:color="auto" w:fill="auto"/>
            <w:noWrap/>
            <w:vAlign w:val="center"/>
            <w:hideMark/>
          </w:tcPr>
          <w:p w14:paraId="0B4454FA"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51</w:t>
            </w:r>
          </w:p>
        </w:tc>
        <w:tc>
          <w:tcPr>
            <w:tcW w:w="1491" w:type="dxa"/>
            <w:tcBorders>
              <w:top w:val="nil"/>
              <w:left w:val="nil"/>
              <w:bottom w:val="single" w:sz="4" w:space="0" w:color="auto"/>
              <w:right w:val="single" w:sz="4" w:space="0" w:color="auto"/>
            </w:tcBorders>
            <w:shd w:val="clear" w:color="auto" w:fill="auto"/>
            <w:noWrap/>
            <w:vAlign w:val="center"/>
            <w:hideMark/>
          </w:tcPr>
          <w:p w14:paraId="577CB2CA"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86,4</w:t>
            </w:r>
          </w:p>
        </w:tc>
        <w:tc>
          <w:tcPr>
            <w:tcW w:w="1628" w:type="dxa"/>
            <w:tcBorders>
              <w:top w:val="nil"/>
              <w:left w:val="nil"/>
              <w:bottom w:val="single" w:sz="4" w:space="0" w:color="auto"/>
              <w:right w:val="single" w:sz="4" w:space="0" w:color="auto"/>
            </w:tcBorders>
            <w:shd w:val="clear" w:color="auto" w:fill="auto"/>
            <w:noWrap/>
            <w:vAlign w:val="center"/>
            <w:hideMark/>
          </w:tcPr>
          <w:p w14:paraId="65E3E385"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56</w:t>
            </w:r>
          </w:p>
        </w:tc>
        <w:tc>
          <w:tcPr>
            <w:tcW w:w="1422" w:type="dxa"/>
            <w:tcBorders>
              <w:top w:val="nil"/>
              <w:left w:val="nil"/>
              <w:bottom w:val="single" w:sz="4" w:space="0" w:color="auto"/>
              <w:right w:val="single" w:sz="4" w:space="0" w:color="auto"/>
            </w:tcBorders>
            <w:shd w:val="clear" w:color="auto" w:fill="auto"/>
            <w:noWrap/>
            <w:vAlign w:val="center"/>
            <w:hideMark/>
          </w:tcPr>
          <w:p w14:paraId="729C53FC"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94,9</w:t>
            </w:r>
          </w:p>
        </w:tc>
      </w:tr>
      <w:tr w:rsidR="00616C5B" w:rsidRPr="00621976" w14:paraId="7DE8338C" w14:textId="77777777" w:rsidTr="0003481B">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471A8E2" w14:textId="77777777" w:rsidR="00616C5B" w:rsidRPr="00621976" w:rsidRDefault="00616C5B" w:rsidP="0003481B">
            <w:pPr>
              <w:spacing w:before="0" w:line="240" w:lineRule="auto"/>
              <w:ind w:firstLine="0"/>
              <w:jc w:val="left"/>
              <w:rPr>
                <w:rFonts w:cs="Arial"/>
                <w:color w:val="000000"/>
              </w:rPr>
            </w:pPr>
            <w:r w:rsidRPr="00621976">
              <w:rPr>
                <w:rFonts w:cs="Arial"/>
                <w:color w:val="000000"/>
              </w:rPr>
              <w:t>Přítomnost pastevce</w:t>
            </w:r>
          </w:p>
        </w:tc>
        <w:tc>
          <w:tcPr>
            <w:tcW w:w="1559" w:type="dxa"/>
            <w:tcBorders>
              <w:top w:val="nil"/>
              <w:left w:val="nil"/>
              <w:bottom w:val="single" w:sz="4" w:space="0" w:color="auto"/>
              <w:right w:val="single" w:sz="4" w:space="0" w:color="auto"/>
            </w:tcBorders>
            <w:shd w:val="clear" w:color="auto" w:fill="auto"/>
            <w:noWrap/>
            <w:vAlign w:val="center"/>
            <w:hideMark/>
          </w:tcPr>
          <w:p w14:paraId="2768CFD4"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3</w:t>
            </w:r>
          </w:p>
        </w:tc>
        <w:tc>
          <w:tcPr>
            <w:tcW w:w="1491" w:type="dxa"/>
            <w:tcBorders>
              <w:top w:val="nil"/>
              <w:left w:val="nil"/>
              <w:bottom w:val="single" w:sz="4" w:space="0" w:color="auto"/>
              <w:right w:val="single" w:sz="4" w:space="0" w:color="auto"/>
            </w:tcBorders>
            <w:shd w:val="clear" w:color="auto" w:fill="auto"/>
            <w:noWrap/>
            <w:vAlign w:val="center"/>
            <w:hideMark/>
          </w:tcPr>
          <w:p w14:paraId="7AF9B6CD"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5,</w:t>
            </w:r>
            <w:r>
              <w:rPr>
                <w:rFonts w:cs="Arial"/>
                <w:color w:val="000000"/>
              </w:rPr>
              <w:t>1</w:t>
            </w:r>
          </w:p>
        </w:tc>
        <w:tc>
          <w:tcPr>
            <w:tcW w:w="1628" w:type="dxa"/>
            <w:tcBorders>
              <w:top w:val="nil"/>
              <w:left w:val="nil"/>
              <w:bottom w:val="single" w:sz="4" w:space="0" w:color="auto"/>
              <w:right w:val="single" w:sz="4" w:space="0" w:color="auto"/>
            </w:tcBorders>
            <w:shd w:val="clear" w:color="auto" w:fill="auto"/>
            <w:noWrap/>
            <w:vAlign w:val="center"/>
            <w:hideMark/>
          </w:tcPr>
          <w:p w14:paraId="58E6DEEA" w14:textId="77777777" w:rsidR="00616C5B" w:rsidRPr="00621976" w:rsidRDefault="00616C5B" w:rsidP="0003481B">
            <w:pPr>
              <w:spacing w:before="0" w:line="240" w:lineRule="auto"/>
              <w:ind w:firstLine="0"/>
              <w:jc w:val="right"/>
              <w:rPr>
                <w:rFonts w:cs="Arial"/>
                <w:color w:val="000000"/>
              </w:rPr>
            </w:pPr>
            <w:r>
              <w:rPr>
                <w:rFonts w:cs="Arial"/>
                <w:color w:val="000000"/>
              </w:rPr>
              <w:t>5</w:t>
            </w:r>
          </w:p>
        </w:tc>
        <w:tc>
          <w:tcPr>
            <w:tcW w:w="1422" w:type="dxa"/>
            <w:tcBorders>
              <w:top w:val="nil"/>
              <w:left w:val="nil"/>
              <w:bottom w:val="single" w:sz="4" w:space="0" w:color="auto"/>
              <w:right w:val="single" w:sz="4" w:space="0" w:color="auto"/>
            </w:tcBorders>
            <w:shd w:val="clear" w:color="auto" w:fill="auto"/>
            <w:noWrap/>
            <w:vAlign w:val="center"/>
            <w:hideMark/>
          </w:tcPr>
          <w:p w14:paraId="2C02AE5F" w14:textId="77777777" w:rsidR="00616C5B" w:rsidRPr="00621976" w:rsidRDefault="00616C5B" w:rsidP="0003481B">
            <w:pPr>
              <w:spacing w:before="0" w:line="240" w:lineRule="auto"/>
              <w:ind w:firstLine="0"/>
              <w:jc w:val="right"/>
              <w:rPr>
                <w:rFonts w:cs="Arial"/>
                <w:color w:val="000000"/>
              </w:rPr>
            </w:pPr>
            <w:r>
              <w:rPr>
                <w:rFonts w:cs="Arial"/>
                <w:color w:val="000000"/>
              </w:rPr>
              <w:t>8</w:t>
            </w:r>
            <w:r w:rsidRPr="00621976">
              <w:rPr>
                <w:rFonts w:cs="Arial"/>
                <w:color w:val="000000"/>
              </w:rPr>
              <w:t>,</w:t>
            </w:r>
            <w:r>
              <w:rPr>
                <w:rFonts w:cs="Arial"/>
                <w:color w:val="000000"/>
              </w:rPr>
              <w:t>5</w:t>
            </w:r>
          </w:p>
        </w:tc>
      </w:tr>
      <w:tr w:rsidR="00616C5B" w:rsidRPr="00621976" w14:paraId="7B1A0146" w14:textId="77777777" w:rsidTr="0003481B">
        <w:trPr>
          <w:trHeight w:val="25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00E752C" w14:textId="77777777" w:rsidR="00616C5B" w:rsidRPr="00621976" w:rsidRDefault="00616C5B" w:rsidP="0003481B">
            <w:pPr>
              <w:spacing w:before="0" w:line="240" w:lineRule="auto"/>
              <w:ind w:firstLine="0"/>
              <w:jc w:val="left"/>
              <w:rPr>
                <w:rFonts w:cs="Arial"/>
                <w:color w:val="000000"/>
              </w:rPr>
            </w:pPr>
            <w:r w:rsidRPr="00621976">
              <w:rPr>
                <w:rFonts w:cs="Arial"/>
                <w:color w:val="000000"/>
              </w:rPr>
              <w:t>Přehánění zvířat</w:t>
            </w:r>
          </w:p>
        </w:tc>
        <w:tc>
          <w:tcPr>
            <w:tcW w:w="1559" w:type="dxa"/>
            <w:tcBorders>
              <w:top w:val="nil"/>
              <w:left w:val="nil"/>
              <w:bottom w:val="single" w:sz="4" w:space="0" w:color="auto"/>
              <w:right w:val="single" w:sz="4" w:space="0" w:color="auto"/>
            </w:tcBorders>
            <w:shd w:val="clear" w:color="auto" w:fill="auto"/>
            <w:noWrap/>
            <w:vAlign w:val="center"/>
            <w:hideMark/>
          </w:tcPr>
          <w:p w14:paraId="55B207CD"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38</w:t>
            </w:r>
          </w:p>
        </w:tc>
        <w:tc>
          <w:tcPr>
            <w:tcW w:w="1491" w:type="dxa"/>
            <w:tcBorders>
              <w:top w:val="nil"/>
              <w:left w:val="nil"/>
              <w:bottom w:val="single" w:sz="4" w:space="0" w:color="auto"/>
              <w:right w:val="single" w:sz="4" w:space="0" w:color="auto"/>
            </w:tcBorders>
            <w:shd w:val="clear" w:color="auto" w:fill="auto"/>
            <w:noWrap/>
            <w:vAlign w:val="center"/>
            <w:hideMark/>
          </w:tcPr>
          <w:p w14:paraId="29E2361D"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64,4</w:t>
            </w:r>
          </w:p>
        </w:tc>
        <w:tc>
          <w:tcPr>
            <w:tcW w:w="1628" w:type="dxa"/>
            <w:tcBorders>
              <w:top w:val="nil"/>
              <w:left w:val="nil"/>
              <w:bottom w:val="single" w:sz="4" w:space="0" w:color="auto"/>
              <w:right w:val="single" w:sz="4" w:space="0" w:color="auto"/>
            </w:tcBorders>
            <w:shd w:val="clear" w:color="auto" w:fill="auto"/>
            <w:noWrap/>
            <w:vAlign w:val="center"/>
            <w:hideMark/>
          </w:tcPr>
          <w:p w14:paraId="6642CCED" w14:textId="77777777" w:rsidR="00616C5B" w:rsidRPr="00621976" w:rsidRDefault="00616C5B" w:rsidP="0003481B">
            <w:pPr>
              <w:spacing w:before="0" w:line="240" w:lineRule="auto"/>
              <w:ind w:firstLine="0"/>
              <w:jc w:val="right"/>
              <w:rPr>
                <w:rFonts w:cs="Arial"/>
                <w:color w:val="000000"/>
              </w:rPr>
            </w:pPr>
            <w:r>
              <w:rPr>
                <w:rFonts w:cs="Arial"/>
                <w:color w:val="000000"/>
              </w:rPr>
              <w:t>48</w:t>
            </w:r>
          </w:p>
        </w:tc>
        <w:tc>
          <w:tcPr>
            <w:tcW w:w="1422" w:type="dxa"/>
            <w:tcBorders>
              <w:top w:val="nil"/>
              <w:left w:val="nil"/>
              <w:bottom w:val="single" w:sz="4" w:space="0" w:color="auto"/>
              <w:right w:val="single" w:sz="4" w:space="0" w:color="auto"/>
            </w:tcBorders>
            <w:shd w:val="clear" w:color="auto" w:fill="auto"/>
            <w:noWrap/>
            <w:vAlign w:val="center"/>
            <w:hideMark/>
          </w:tcPr>
          <w:p w14:paraId="2BBC8A7F" w14:textId="77777777" w:rsidR="00616C5B" w:rsidRPr="00621976" w:rsidRDefault="00616C5B" w:rsidP="0003481B">
            <w:pPr>
              <w:spacing w:before="0" w:line="240" w:lineRule="auto"/>
              <w:ind w:firstLine="0"/>
              <w:jc w:val="right"/>
              <w:rPr>
                <w:rFonts w:cs="Arial"/>
                <w:color w:val="000000"/>
              </w:rPr>
            </w:pPr>
            <w:r w:rsidRPr="00621976">
              <w:rPr>
                <w:rFonts w:cs="Arial"/>
                <w:color w:val="000000"/>
              </w:rPr>
              <w:t>8</w:t>
            </w:r>
            <w:r>
              <w:rPr>
                <w:rFonts w:cs="Arial"/>
                <w:color w:val="000000"/>
              </w:rPr>
              <w:t>1,4</w:t>
            </w:r>
          </w:p>
        </w:tc>
      </w:tr>
    </w:tbl>
    <w:p w14:paraId="2FAFE426" w14:textId="77777777" w:rsidR="00616C5B" w:rsidRPr="008735CB" w:rsidRDefault="00616C5B" w:rsidP="00616C5B">
      <w:pPr>
        <w:pStyle w:val="Zdroje"/>
        <w:spacing w:after="240"/>
      </w:pPr>
      <w:r w:rsidRPr="008735CB">
        <w:t>Zdroj: Dotazníkové šetření u chovatelů hospodářských zvířat v oblastech s výskytem vlka, ÚZEI 2023</w:t>
      </w:r>
    </w:p>
    <w:p w14:paraId="1BB505AE" w14:textId="4FAC2973" w:rsidR="00616C5B" w:rsidRDefault="00616C5B" w:rsidP="00616C5B">
      <w:r>
        <w:t>Níže v </w:t>
      </w:r>
      <w:r>
        <w:fldChar w:fldCharType="begin"/>
      </w:r>
      <w:r>
        <w:instrText xml:space="preserve"> REF _Ref135306189 \h </w:instrText>
      </w:r>
      <w:r>
        <w:fldChar w:fldCharType="separate"/>
      </w:r>
      <w:r w:rsidR="00486DB8">
        <w:t>Tab. </w:t>
      </w:r>
      <w:r w:rsidR="00486DB8">
        <w:rPr>
          <w:noProof/>
        </w:rPr>
        <w:t>4</w:t>
      </w:r>
      <w:r>
        <w:fldChar w:fldCharType="end"/>
      </w:r>
      <w:r>
        <w:t xml:space="preserve"> je uveden souhrn jednotlivých nákladů, které respondentům vznikají v souvislosti s výskytem vlka v oblasti, na kterých mají své pastviny a provádí na nich opatření pro zabezpečení stád. V případě, kdy jsou odstraněny odlehlé hodnoty, vychází prostá suma nákladů plynoucích z organizace pastvy s využitím oplocení na 21 543 Kč/ha pastviny, ale po zohlednění váhy (tedy frekvence, jak často jsou opatření u respondentů prováděna) vychází celkové náklady na pastvu s oplocením ve výši </w:t>
      </w:r>
      <w:r w:rsidRPr="001F249C">
        <w:rPr>
          <w:b/>
        </w:rPr>
        <w:t>1</w:t>
      </w:r>
      <w:r>
        <w:rPr>
          <w:b/>
          <w:bCs/>
        </w:rPr>
        <w:t>3</w:t>
      </w:r>
      <w:r w:rsidRPr="001F249C">
        <w:rPr>
          <w:b/>
        </w:rPr>
        <w:t> </w:t>
      </w:r>
      <w:r>
        <w:rPr>
          <w:b/>
          <w:bCs/>
        </w:rPr>
        <w:t>251</w:t>
      </w:r>
      <w:r w:rsidRPr="001F249C">
        <w:rPr>
          <w:b/>
        </w:rPr>
        <w:t> Kč/ha pastviny</w:t>
      </w:r>
      <w:r>
        <w:t xml:space="preserve">. Při výpočtu na velké dobytčí jednotky činí suma nákladů při pastvě s oplocením 25 349 Kč/VDJ/rok a </w:t>
      </w:r>
      <w:r w:rsidR="007163DF">
        <w:t>p</w:t>
      </w:r>
      <w:r>
        <w:t xml:space="preserve">o zohlednění váhy jsou průměrné náklady ve výši </w:t>
      </w:r>
      <w:r w:rsidRPr="001F249C">
        <w:rPr>
          <w:b/>
        </w:rPr>
        <w:t>1</w:t>
      </w:r>
      <w:r>
        <w:rPr>
          <w:b/>
          <w:bCs/>
        </w:rPr>
        <w:t>5</w:t>
      </w:r>
      <w:r w:rsidRPr="001F249C">
        <w:rPr>
          <w:b/>
        </w:rPr>
        <w:t> </w:t>
      </w:r>
      <w:r>
        <w:rPr>
          <w:b/>
          <w:bCs/>
        </w:rPr>
        <w:t>304</w:t>
      </w:r>
      <w:r w:rsidRPr="001F249C">
        <w:rPr>
          <w:b/>
        </w:rPr>
        <w:t> Kč/VDJ</w:t>
      </w:r>
      <w:r>
        <w:rPr>
          <w:b/>
          <w:bCs/>
        </w:rPr>
        <w:t xml:space="preserve"> </w:t>
      </w:r>
      <w:r>
        <w:t>po</w:t>
      </w:r>
      <w:r w:rsidRPr="001F249C">
        <w:t> odstranění odlehlých hodnot</w:t>
      </w:r>
      <w:r>
        <w:t>.</w:t>
      </w:r>
    </w:p>
    <w:p w14:paraId="5AA10A8A" w14:textId="05B0E3AE" w:rsidR="00616C5B" w:rsidRDefault="00616C5B" w:rsidP="00616C5B">
      <w:pPr>
        <w:pStyle w:val="Titulek"/>
      </w:pPr>
      <w:bookmarkStart w:id="44" w:name="_Ref137640522"/>
      <w:bookmarkStart w:id="45" w:name="_Ref135306189"/>
      <w:bookmarkStart w:id="46" w:name="_Toc138062291"/>
      <w:r>
        <w:lastRenderedPageBreak/>
        <w:t>Tab. </w:t>
      </w:r>
      <w:r w:rsidR="00F41AB0">
        <w:fldChar w:fldCharType="begin"/>
      </w:r>
      <w:r w:rsidR="00F41AB0">
        <w:instrText xml:space="preserve"> SEQ Tab. \* ARABIC </w:instrText>
      </w:r>
      <w:r w:rsidR="00F41AB0">
        <w:fldChar w:fldCharType="separate"/>
      </w:r>
      <w:r w:rsidR="00486DB8">
        <w:rPr>
          <w:noProof/>
        </w:rPr>
        <w:t>4</w:t>
      </w:r>
      <w:r w:rsidR="00F41AB0">
        <w:rPr>
          <w:noProof/>
        </w:rPr>
        <w:fldChar w:fldCharType="end"/>
      </w:r>
      <w:bookmarkEnd w:id="44"/>
      <w:bookmarkEnd w:id="45"/>
      <w:r>
        <w:t xml:space="preserve"> Souhrn všech nákladů na pastvu s využitím oplocení/ohradníků – průměr za jednotlivá opatření</w:t>
      </w:r>
      <w:bookmarkEnd w:id="46"/>
    </w:p>
    <w:tbl>
      <w:tblPr>
        <w:tblStyle w:val="Mkatabulky"/>
        <w:tblW w:w="9072" w:type="dxa"/>
        <w:tblLayout w:type="fixed"/>
        <w:tblLook w:val="04A0" w:firstRow="1" w:lastRow="0" w:firstColumn="1" w:lastColumn="0" w:noHBand="0" w:noVBand="1"/>
      </w:tblPr>
      <w:tblGrid>
        <w:gridCol w:w="4376"/>
        <w:gridCol w:w="667"/>
        <w:gridCol w:w="1007"/>
        <w:gridCol w:w="1007"/>
        <w:gridCol w:w="1007"/>
        <w:gridCol w:w="1008"/>
      </w:tblGrid>
      <w:tr w:rsidR="006F6443" w:rsidRPr="008F339D" w14:paraId="773A3226" w14:textId="77777777" w:rsidTr="0003481B">
        <w:trPr>
          <w:trHeight w:val="283"/>
        </w:trPr>
        <w:tc>
          <w:tcPr>
            <w:tcW w:w="4376" w:type="dxa"/>
            <w:vMerge w:val="restart"/>
            <w:shd w:val="clear" w:color="auto" w:fill="BDD6EE"/>
            <w:vAlign w:val="center"/>
          </w:tcPr>
          <w:p w14:paraId="7F622FBA" w14:textId="77777777" w:rsidR="006F6443" w:rsidRPr="008F339D" w:rsidRDefault="006F6443" w:rsidP="0003481B">
            <w:pPr>
              <w:keepNext/>
              <w:spacing w:before="0" w:line="240" w:lineRule="atLeast"/>
              <w:ind w:firstLine="0"/>
              <w:jc w:val="left"/>
              <w:rPr>
                <w:rFonts w:cs="Arial"/>
                <w:b/>
                <w:sz w:val="18"/>
                <w:szCs w:val="18"/>
              </w:rPr>
            </w:pPr>
            <w:r w:rsidRPr="008F339D">
              <w:rPr>
                <w:rFonts w:cs="Arial"/>
                <w:b/>
                <w:sz w:val="18"/>
                <w:szCs w:val="18"/>
              </w:rPr>
              <w:t>PASTVA S VYUŽITÍM OPLOCENÍ</w:t>
            </w:r>
          </w:p>
          <w:p w14:paraId="74CDDC37" w14:textId="77777777" w:rsidR="006F6443" w:rsidRPr="008F339D" w:rsidRDefault="006F6443" w:rsidP="0003481B">
            <w:pPr>
              <w:keepNext/>
              <w:spacing w:before="0" w:line="240" w:lineRule="atLeast"/>
              <w:ind w:firstLine="0"/>
              <w:jc w:val="left"/>
              <w:rPr>
                <w:rFonts w:cs="Arial"/>
                <w:b/>
                <w:bCs/>
                <w:sz w:val="18"/>
                <w:szCs w:val="18"/>
              </w:rPr>
            </w:pPr>
            <w:r w:rsidRPr="008F339D">
              <w:rPr>
                <w:rFonts w:cs="Arial"/>
                <w:b/>
                <w:sz w:val="18"/>
                <w:szCs w:val="18"/>
              </w:rPr>
              <w:t>[Kč/rok]</w:t>
            </w:r>
          </w:p>
        </w:tc>
        <w:tc>
          <w:tcPr>
            <w:tcW w:w="667" w:type="dxa"/>
            <w:vMerge w:val="restart"/>
            <w:shd w:val="clear" w:color="auto" w:fill="BDD6EE"/>
            <w:vAlign w:val="center"/>
          </w:tcPr>
          <w:p w14:paraId="18862EAE" w14:textId="77777777"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Váha</w:t>
            </w:r>
          </w:p>
          <w:p w14:paraId="6EB9970F" w14:textId="77777777"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w:t>
            </w:r>
          </w:p>
        </w:tc>
        <w:tc>
          <w:tcPr>
            <w:tcW w:w="2014" w:type="dxa"/>
            <w:gridSpan w:val="2"/>
            <w:shd w:val="clear" w:color="auto" w:fill="BDD6EE"/>
            <w:vAlign w:val="center"/>
          </w:tcPr>
          <w:p w14:paraId="60E51016" w14:textId="775EEC7E"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 xml:space="preserve">Průměr </w:t>
            </w:r>
          </w:p>
        </w:tc>
        <w:tc>
          <w:tcPr>
            <w:tcW w:w="2015" w:type="dxa"/>
            <w:gridSpan w:val="2"/>
            <w:shd w:val="clear" w:color="auto" w:fill="BDD6EE"/>
          </w:tcPr>
          <w:p w14:paraId="4EA6FCB9" w14:textId="0ED720D9" w:rsidR="006F6443" w:rsidRPr="008F339D" w:rsidRDefault="006F6443" w:rsidP="0003481B">
            <w:pPr>
              <w:keepNext/>
              <w:spacing w:before="0" w:line="240" w:lineRule="atLeast"/>
              <w:ind w:firstLine="0"/>
              <w:jc w:val="center"/>
              <w:rPr>
                <w:rFonts w:cs="Arial"/>
                <w:b/>
                <w:sz w:val="18"/>
                <w:szCs w:val="18"/>
              </w:rPr>
            </w:pPr>
            <w:r>
              <w:rPr>
                <w:rFonts w:cs="Arial"/>
                <w:b/>
                <w:sz w:val="18"/>
                <w:szCs w:val="18"/>
              </w:rPr>
              <w:t>Vážený p</w:t>
            </w:r>
            <w:r w:rsidRPr="008F339D">
              <w:rPr>
                <w:rFonts w:cs="Arial"/>
                <w:b/>
                <w:sz w:val="18"/>
                <w:szCs w:val="18"/>
              </w:rPr>
              <w:t xml:space="preserve">růměr </w:t>
            </w:r>
          </w:p>
        </w:tc>
      </w:tr>
      <w:tr w:rsidR="006F6443" w:rsidRPr="008F339D" w14:paraId="13BF67FD" w14:textId="77777777" w:rsidTr="0003481B">
        <w:trPr>
          <w:trHeight w:val="283"/>
        </w:trPr>
        <w:tc>
          <w:tcPr>
            <w:tcW w:w="4376" w:type="dxa"/>
            <w:vMerge/>
            <w:shd w:val="clear" w:color="auto" w:fill="BDD6EE"/>
            <w:vAlign w:val="center"/>
          </w:tcPr>
          <w:p w14:paraId="0EA2E00E" w14:textId="77777777" w:rsidR="006F6443" w:rsidRPr="008F339D" w:rsidRDefault="006F6443" w:rsidP="0003481B">
            <w:pPr>
              <w:keepNext/>
              <w:spacing w:before="0" w:line="240" w:lineRule="atLeast"/>
              <w:ind w:firstLine="0"/>
              <w:jc w:val="left"/>
              <w:rPr>
                <w:rFonts w:cs="Arial"/>
                <w:b/>
                <w:sz w:val="18"/>
                <w:szCs w:val="18"/>
              </w:rPr>
            </w:pPr>
          </w:p>
        </w:tc>
        <w:tc>
          <w:tcPr>
            <w:tcW w:w="667" w:type="dxa"/>
            <w:vMerge/>
            <w:shd w:val="clear" w:color="auto" w:fill="BDD6EE"/>
          </w:tcPr>
          <w:p w14:paraId="197A437E" w14:textId="77777777" w:rsidR="006F6443" w:rsidRPr="008F339D" w:rsidRDefault="006F6443" w:rsidP="0003481B">
            <w:pPr>
              <w:keepNext/>
              <w:spacing w:before="0" w:line="240" w:lineRule="atLeast"/>
              <w:ind w:firstLine="0"/>
              <w:jc w:val="center"/>
              <w:rPr>
                <w:rFonts w:cs="Arial"/>
                <w:b/>
                <w:sz w:val="18"/>
                <w:szCs w:val="18"/>
              </w:rPr>
            </w:pPr>
          </w:p>
        </w:tc>
        <w:tc>
          <w:tcPr>
            <w:tcW w:w="1007" w:type="dxa"/>
            <w:shd w:val="clear" w:color="auto" w:fill="BDD6EE"/>
            <w:vAlign w:val="center"/>
          </w:tcPr>
          <w:p w14:paraId="027BFA6A" w14:textId="77777777"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NA HA</w:t>
            </w:r>
          </w:p>
        </w:tc>
        <w:tc>
          <w:tcPr>
            <w:tcW w:w="1007" w:type="dxa"/>
            <w:shd w:val="clear" w:color="auto" w:fill="BDD6EE"/>
            <w:vAlign w:val="center"/>
          </w:tcPr>
          <w:p w14:paraId="69426C7A" w14:textId="77777777"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NA VDJ</w:t>
            </w:r>
          </w:p>
        </w:tc>
        <w:tc>
          <w:tcPr>
            <w:tcW w:w="1007" w:type="dxa"/>
            <w:shd w:val="clear" w:color="auto" w:fill="BDD6EE"/>
            <w:vAlign w:val="center"/>
          </w:tcPr>
          <w:p w14:paraId="34487876" w14:textId="77777777"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NA HA</w:t>
            </w:r>
          </w:p>
        </w:tc>
        <w:tc>
          <w:tcPr>
            <w:tcW w:w="1008" w:type="dxa"/>
            <w:shd w:val="clear" w:color="auto" w:fill="BDD6EE"/>
            <w:vAlign w:val="center"/>
          </w:tcPr>
          <w:p w14:paraId="5B42262D" w14:textId="77777777" w:rsidR="006F6443" w:rsidRPr="008F339D" w:rsidRDefault="006F6443" w:rsidP="0003481B">
            <w:pPr>
              <w:keepNext/>
              <w:spacing w:before="0" w:line="240" w:lineRule="atLeast"/>
              <w:ind w:firstLine="0"/>
              <w:jc w:val="center"/>
              <w:rPr>
                <w:rFonts w:cs="Arial"/>
                <w:b/>
                <w:sz w:val="18"/>
                <w:szCs w:val="18"/>
              </w:rPr>
            </w:pPr>
            <w:r w:rsidRPr="008F339D">
              <w:rPr>
                <w:rFonts w:cs="Arial"/>
                <w:b/>
                <w:sz w:val="18"/>
                <w:szCs w:val="18"/>
              </w:rPr>
              <w:t>NA VDJ</w:t>
            </w:r>
          </w:p>
        </w:tc>
      </w:tr>
      <w:tr w:rsidR="00FF58C3" w:rsidRPr="008F339D" w14:paraId="5AA4957F" w14:textId="77777777" w:rsidTr="0003481B">
        <w:trPr>
          <w:trHeight w:val="283"/>
        </w:trPr>
        <w:tc>
          <w:tcPr>
            <w:tcW w:w="4376" w:type="dxa"/>
            <w:vAlign w:val="center"/>
          </w:tcPr>
          <w:p w14:paraId="31050E02" w14:textId="77777777" w:rsidR="00FF58C3" w:rsidRPr="008F339D" w:rsidRDefault="00FF58C3" w:rsidP="00FF58C3">
            <w:pPr>
              <w:keepNext/>
              <w:spacing w:before="0" w:line="240" w:lineRule="atLeast"/>
              <w:ind w:firstLine="0"/>
              <w:jc w:val="left"/>
              <w:rPr>
                <w:rFonts w:cs="Arial"/>
                <w:sz w:val="18"/>
                <w:szCs w:val="18"/>
              </w:rPr>
            </w:pPr>
            <w:r w:rsidRPr="008F339D">
              <w:rPr>
                <w:rFonts w:cs="Arial"/>
                <w:color w:val="000000"/>
                <w:sz w:val="18"/>
                <w:szCs w:val="18"/>
              </w:rPr>
              <w:t>Instalace ohradníků/oplocení a manipulace – rozdíl</w:t>
            </w:r>
          </w:p>
        </w:tc>
        <w:tc>
          <w:tcPr>
            <w:tcW w:w="667" w:type="dxa"/>
            <w:vAlign w:val="center"/>
          </w:tcPr>
          <w:p w14:paraId="29F725F0" w14:textId="77777777" w:rsidR="00FF58C3" w:rsidRPr="008F339D" w:rsidRDefault="00FF58C3" w:rsidP="00FF58C3">
            <w:pPr>
              <w:keepNext/>
              <w:spacing w:before="0" w:line="240" w:lineRule="atLeast"/>
              <w:ind w:firstLine="0"/>
              <w:jc w:val="right"/>
              <w:rPr>
                <w:rFonts w:cs="Arial"/>
                <w:sz w:val="18"/>
                <w:szCs w:val="18"/>
              </w:rPr>
            </w:pPr>
            <w:r>
              <w:rPr>
                <w:rFonts w:cs="Arial"/>
                <w:sz w:val="18"/>
                <w:szCs w:val="18"/>
              </w:rPr>
              <w:t>94,9</w:t>
            </w:r>
          </w:p>
        </w:tc>
        <w:tc>
          <w:tcPr>
            <w:tcW w:w="1007" w:type="dxa"/>
            <w:noWrap/>
            <w:tcMar>
              <w:left w:w="57" w:type="dxa"/>
            </w:tcMar>
            <w:vAlign w:val="center"/>
          </w:tcPr>
          <w:p w14:paraId="09773F68"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2 2</w:t>
            </w:r>
            <w:r>
              <w:rPr>
                <w:rFonts w:cs="Arial"/>
                <w:sz w:val="18"/>
                <w:szCs w:val="18"/>
              </w:rPr>
              <w:t>52</w:t>
            </w:r>
          </w:p>
        </w:tc>
        <w:tc>
          <w:tcPr>
            <w:tcW w:w="1007" w:type="dxa"/>
            <w:noWrap/>
            <w:tcMar>
              <w:left w:w="57" w:type="dxa"/>
            </w:tcMar>
            <w:vAlign w:val="center"/>
          </w:tcPr>
          <w:p w14:paraId="3EC83CBE"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2 </w:t>
            </w:r>
            <w:r>
              <w:rPr>
                <w:rFonts w:cs="Arial"/>
                <w:sz w:val="18"/>
                <w:szCs w:val="18"/>
              </w:rPr>
              <w:t>595</w:t>
            </w:r>
          </w:p>
        </w:tc>
        <w:tc>
          <w:tcPr>
            <w:tcW w:w="1007" w:type="dxa"/>
            <w:noWrap/>
            <w:tcMar>
              <w:left w:w="57" w:type="dxa"/>
            </w:tcMar>
            <w:vAlign w:val="center"/>
          </w:tcPr>
          <w:p w14:paraId="22CF1533" w14:textId="31D44C3B"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2 137</w:t>
            </w:r>
          </w:p>
        </w:tc>
        <w:tc>
          <w:tcPr>
            <w:tcW w:w="1008" w:type="dxa"/>
            <w:noWrap/>
            <w:tcMar>
              <w:left w:w="57" w:type="dxa"/>
            </w:tcMar>
            <w:vAlign w:val="center"/>
          </w:tcPr>
          <w:p w14:paraId="7D6D06A3" w14:textId="37726B2D"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2 463</w:t>
            </w:r>
          </w:p>
        </w:tc>
      </w:tr>
      <w:tr w:rsidR="00FF58C3" w:rsidRPr="008F339D" w14:paraId="515523F1" w14:textId="77777777" w:rsidTr="0003481B">
        <w:trPr>
          <w:trHeight w:val="283"/>
        </w:trPr>
        <w:tc>
          <w:tcPr>
            <w:tcW w:w="4376" w:type="dxa"/>
            <w:vAlign w:val="center"/>
          </w:tcPr>
          <w:p w14:paraId="770813C2" w14:textId="77777777" w:rsidR="00FF58C3" w:rsidRPr="008F339D" w:rsidRDefault="00FF58C3" w:rsidP="00FF58C3">
            <w:pPr>
              <w:keepNext/>
              <w:spacing w:before="0" w:line="240" w:lineRule="atLeast"/>
              <w:ind w:firstLine="0"/>
              <w:jc w:val="left"/>
              <w:rPr>
                <w:rFonts w:cs="Arial"/>
                <w:color w:val="000000"/>
                <w:sz w:val="18"/>
                <w:szCs w:val="18"/>
              </w:rPr>
            </w:pPr>
            <w:r w:rsidRPr="008F339D">
              <w:rPr>
                <w:rFonts w:cs="Arial"/>
                <w:color w:val="000000"/>
                <w:sz w:val="18"/>
                <w:szCs w:val="18"/>
              </w:rPr>
              <w:t>Kontrola a údržba oplocení – rozdíl</w:t>
            </w:r>
          </w:p>
        </w:tc>
        <w:tc>
          <w:tcPr>
            <w:tcW w:w="667" w:type="dxa"/>
            <w:vAlign w:val="center"/>
          </w:tcPr>
          <w:p w14:paraId="0BEAE587"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100,0</w:t>
            </w:r>
          </w:p>
        </w:tc>
        <w:tc>
          <w:tcPr>
            <w:tcW w:w="1007" w:type="dxa"/>
            <w:noWrap/>
            <w:tcMar>
              <w:left w:w="57" w:type="dxa"/>
            </w:tcMar>
            <w:vAlign w:val="center"/>
          </w:tcPr>
          <w:p w14:paraId="4D741CD2"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5 3</w:t>
            </w:r>
            <w:r w:rsidRPr="00C66F85">
              <w:rPr>
                <w:rFonts w:cs="Arial"/>
                <w:sz w:val="18"/>
                <w:szCs w:val="18"/>
              </w:rPr>
              <w:t>00</w:t>
            </w:r>
          </w:p>
        </w:tc>
        <w:tc>
          <w:tcPr>
            <w:tcW w:w="1007" w:type="dxa"/>
            <w:noWrap/>
            <w:tcMar>
              <w:left w:w="57" w:type="dxa"/>
            </w:tcMar>
            <w:vAlign w:val="center"/>
          </w:tcPr>
          <w:p w14:paraId="7A8287A4"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6 4</w:t>
            </w:r>
            <w:r w:rsidRPr="00C66F85">
              <w:rPr>
                <w:rFonts w:cs="Arial"/>
                <w:sz w:val="18"/>
                <w:szCs w:val="18"/>
              </w:rPr>
              <w:t>24</w:t>
            </w:r>
          </w:p>
        </w:tc>
        <w:tc>
          <w:tcPr>
            <w:tcW w:w="1007" w:type="dxa"/>
            <w:noWrap/>
            <w:tcMar>
              <w:left w:w="57" w:type="dxa"/>
            </w:tcMar>
            <w:vAlign w:val="center"/>
          </w:tcPr>
          <w:p w14:paraId="7C9A993B" w14:textId="33A158F9"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5 300</w:t>
            </w:r>
          </w:p>
        </w:tc>
        <w:tc>
          <w:tcPr>
            <w:tcW w:w="1008" w:type="dxa"/>
            <w:noWrap/>
            <w:tcMar>
              <w:left w:w="57" w:type="dxa"/>
            </w:tcMar>
            <w:vAlign w:val="center"/>
          </w:tcPr>
          <w:p w14:paraId="51F579F9" w14:textId="660D192B"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6 424</w:t>
            </w:r>
          </w:p>
        </w:tc>
      </w:tr>
      <w:tr w:rsidR="00FF58C3" w:rsidRPr="008F339D" w14:paraId="4A6013DF" w14:textId="77777777" w:rsidTr="0003481B">
        <w:trPr>
          <w:trHeight w:val="283"/>
        </w:trPr>
        <w:tc>
          <w:tcPr>
            <w:tcW w:w="4376" w:type="dxa"/>
            <w:vAlign w:val="center"/>
          </w:tcPr>
          <w:p w14:paraId="4A50B043" w14:textId="77777777" w:rsidR="00FF58C3" w:rsidRPr="008F339D" w:rsidRDefault="00FF58C3" w:rsidP="00FF58C3">
            <w:pPr>
              <w:keepNext/>
              <w:spacing w:before="0" w:line="240" w:lineRule="atLeast"/>
              <w:ind w:firstLine="0"/>
              <w:jc w:val="left"/>
              <w:rPr>
                <w:rFonts w:cs="Arial"/>
                <w:color w:val="000000"/>
                <w:sz w:val="18"/>
                <w:szCs w:val="18"/>
              </w:rPr>
            </w:pPr>
            <w:r w:rsidRPr="008F339D">
              <w:rPr>
                <w:rFonts w:cs="Arial"/>
                <w:color w:val="000000"/>
                <w:sz w:val="18"/>
                <w:szCs w:val="18"/>
              </w:rPr>
              <w:t>Údržba porostu pod el. ohradníky – rozdíl</w:t>
            </w:r>
          </w:p>
        </w:tc>
        <w:tc>
          <w:tcPr>
            <w:tcW w:w="667" w:type="dxa"/>
            <w:vAlign w:val="center"/>
          </w:tcPr>
          <w:p w14:paraId="1486E0C5"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94,9</w:t>
            </w:r>
          </w:p>
        </w:tc>
        <w:tc>
          <w:tcPr>
            <w:tcW w:w="1007" w:type="dxa"/>
            <w:noWrap/>
            <w:tcMar>
              <w:left w:w="57" w:type="dxa"/>
            </w:tcMar>
            <w:vAlign w:val="center"/>
          </w:tcPr>
          <w:p w14:paraId="1569A4A9"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2 26</w:t>
            </w:r>
            <w:r w:rsidRPr="00C66F85">
              <w:rPr>
                <w:rFonts w:cs="Arial"/>
                <w:sz w:val="18"/>
                <w:szCs w:val="18"/>
              </w:rPr>
              <w:t>6</w:t>
            </w:r>
          </w:p>
        </w:tc>
        <w:tc>
          <w:tcPr>
            <w:tcW w:w="1007" w:type="dxa"/>
            <w:noWrap/>
            <w:tcMar>
              <w:left w:w="57" w:type="dxa"/>
            </w:tcMar>
            <w:vAlign w:val="center"/>
          </w:tcPr>
          <w:p w14:paraId="10DE98A0"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2 054</w:t>
            </w:r>
          </w:p>
        </w:tc>
        <w:tc>
          <w:tcPr>
            <w:tcW w:w="1007" w:type="dxa"/>
            <w:noWrap/>
            <w:tcMar>
              <w:left w:w="57" w:type="dxa"/>
            </w:tcMar>
            <w:vAlign w:val="center"/>
          </w:tcPr>
          <w:p w14:paraId="4691F290" w14:textId="381BC5C8"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2 150</w:t>
            </w:r>
          </w:p>
        </w:tc>
        <w:tc>
          <w:tcPr>
            <w:tcW w:w="1008" w:type="dxa"/>
            <w:noWrap/>
            <w:tcMar>
              <w:left w:w="57" w:type="dxa"/>
            </w:tcMar>
            <w:vAlign w:val="center"/>
          </w:tcPr>
          <w:p w14:paraId="6813603E" w14:textId="31E37349"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1 950</w:t>
            </w:r>
          </w:p>
        </w:tc>
      </w:tr>
      <w:tr w:rsidR="00FF58C3" w:rsidRPr="008F339D" w14:paraId="36E2E2E6" w14:textId="77777777" w:rsidTr="0003481B">
        <w:trPr>
          <w:trHeight w:val="283"/>
        </w:trPr>
        <w:tc>
          <w:tcPr>
            <w:tcW w:w="4376" w:type="dxa"/>
            <w:vAlign w:val="center"/>
          </w:tcPr>
          <w:p w14:paraId="62E73AAF" w14:textId="77777777" w:rsidR="00FF58C3" w:rsidRPr="008F339D" w:rsidRDefault="00FF58C3" w:rsidP="00FF58C3">
            <w:pPr>
              <w:keepNext/>
              <w:spacing w:before="0" w:line="240" w:lineRule="atLeast"/>
              <w:ind w:firstLine="0"/>
              <w:jc w:val="left"/>
              <w:rPr>
                <w:rFonts w:cs="Arial"/>
                <w:sz w:val="18"/>
                <w:szCs w:val="18"/>
              </w:rPr>
            </w:pPr>
            <w:r w:rsidRPr="008F339D">
              <w:rPr>
                <w:rFonts w:cs="Arial"/>
                <w:color w:val="000000"/>
                <w:sz w:val="18"/>
                <w:szCs w:val="18"/>
              </w:rPr>
              <w:t xml:space="preserve">Přítomnost pracovníka na oplocené pastvině </w:t>
            </w:r>
            <w:r w:rsidRPr="008F339D">
              <w:rPr>
                <w:rFonts w:cs="Arial"/>
                <w:sz w:val="18"/>
                <w:szCs w:val="18"/>
              </w:rPr>
              <w:t>×</w:t>
            </w:r>
            <w:r w:rsidRPr="008F339D">
              <w:rPr>
                <w:rFonts w:cs="Arial"/>
                <w:color w:val="000000"/>
                <w:sz w:val="18"/>
                <w:szCs w:val="18"/>
              </w:rPr>
              <w:t> čas strávený hlídáním zvířat – rozdíl</w:t>
            </w:r>
          </w:p>
        </w:tc>
        <w:tc>
          <w:tcPr>
            <w:tcW w:w="667" w:type="dxa"/>
            <w:vAlign w:val="center"/>
          </w:tcPr>
          <w:p w14:paraId="5BC34242"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8,5</w:t>
            </w:r>
          </w:p>
        </w:tc>
        <w:tc>
          <w:tcPr>
            <w:tcW w:w="1007" w:type="dxa"/>
            <w:noWrap/>
            <w:tcMar>
              <w:left w:w="57" w:type="dxa"/>
            </w:tcMar>
            <w:vAlign w:val="center"/>
          </w:tcPr>
          <w:p w14:paraId="6CD1D363"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8 062</w:t>
            </w:r>
          </w:p>
        </w:tc>
        <w:tc>
          <w:tcPr>
            <w:tcW w:w="1007" w:type="dxa"/>
            <w:noWrap/>
            <w:tcMar>
              <w:left w:w="57" w:type="dxa"/>
            </w:tcMar>
            <w:vAlign w:val="center"/>
          </w:tcPr>
          <w:p w14:paraId="48A76F01"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9 806</w:t>
            </w:r>
          </w:p>
        </w:tc>
        <w:tc>
          <w:tcPr>
            <w:tcW w:w="1007" w:type="dxa"/>
            <w:noWrap/>
            <w:tcMar>
              <w:left w:w="57" w:type="dxa"/>
            </w:tcMar>
            <w:vAlign w:val="center"/>
          </w:tcPr>
          <w:p w14:paraId="5A5A64E2" w14:textId="22203260"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683</w:t>
            </w:r>
          </w:p>
        </w:tc>
        <w:tc>
          <w:tcPr>
            <w:tcW w:w="1008" w:type="dxa"/>
            <w:noWrap/>
            <w:tcMar>
              <w:left w:w="57" w:type="dxa"/>
            </w:tcMar>
            <w:vAlign w:val="center"/>
          </w:tcPr>
          <w:p w14:paraId="58DD250A" w14:textId="48395C39"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831</w:t>
            </w:r>
          </w:p>
        </w:tc>
      </w:tr>
      <w:tr w:rsidR="00FF58C3" w:rsidRPr="008F339D" w14:paraId="0A7C5544" w14:textId="77777777" w:rsidTr="0003481B">
        <w:trPr>
          <w:trHeight w:val="283"/>
        </w:trPr>
        <w:tc>
          <w:tcPr>
            <w:tcW w:w="4376" w:type="dxa"/>
            <w:vAlign w:val="center"/>
          </w:tcPr>
          <w:p w14:paraId="39276B78" w14:textId="77777777" w:rsidR="00FF58C3" w:rsidRPr="008F339D" w:rsidRDefault="00FF58C3" w:rsidP="00FF58C3">
            <w:pPr>
              <w:keepNext/>
              <w:spacing w:before="0" w:line="240" w:lineRule="atLeast"/>
              <w:ind w:firstLine="0"/>
              <w:jc w:val="left"/>
              <w:rPr>
                <w:rFonts w:cs="Arial"/>
                <w:color w:val="000000"/>
                <w:sz w:val="18"/>
                <w:szCs w:val="18"/>
              </w:rPr>
            </w:pPr>
            <w:r w:rsidRPr="008F339D">
              <w:rPr>
                <w:rFonts w:cs="Arial"/>
                <w:color w:val="000000"/>
                <w:sz w:val="18"/>
                <w:szCs w:val="18"/>
              </w:rPr>
              <w:t>Přehánění zvířat – rozdíl</w:t>
            </w:r>
          </w:p>
        </w:tc>
        <w:tc>
          <w:tcPr>
            <w:tcW w:w="667" w:type="dxa"/>
            <w:vAlign w:val="center"/>
          </w:tcPr>
          <w:p w14:paraId="3852B33C"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81,4</w:t>
            </w:r>
          </w:p>
        </w:tc>
        <w:tc>
          <w:tcPr>
            <w:tcW w:w="1007" w:type="dxa"/>
            <w:noWrap/>
            <w:tcMar>
              <w:left w:w="57" w:type="dxa"/>
            </w:tcMar>
            <w:vAlign w:val="center"/>
          </w:tcPr>
          <w:p w14:paraId="57B2DA10"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3 6</w:t>
            </w:r>
            <w:r w:rsidRPr="00C66F85">
              <w:rPr>
                <w:rFonts w:cs="Arial"/>
                <w:sz w:val="18"/>
                <w:szCs w:val="18"/>
              </w:rPr>
              <w:t>63</w:t>
            </w:r>
          </w:p>
        </w:tc>
        <w:tc>
          <w:tcPr>
            <w:tcW w:w="1007" w:type="dxa"/>
            <w:noWrap/>
            <w:tcMar>
              <w:left w:w="57" w:type="dxa"/>
            </w:tcMar>
            <w:vAlign w:val="center"/>
          </w:tcPr>
          <w:p w14:paraId="03648CC8" w14:textId="77777777" w:rsidR="00FF58C3" w:rsidRPr="008F339D" w:rsidRDefault="00FF58C3" w:rsidP="00FF58C3">
            <w:pPr>
              <w:keepNext/>
              <w:spacing w:before="0" w:line="240" w:lineRule="atLeast"/>
              <w:ind w:firstLine="0"/>
              <w:jc w:val="right"/>
              <w:rPr>
                <w:rFonts w:cs="Arial"/>
                <w:sz w:val="18"/>
                <w:szCs w:val="18"/>
              </w:rPr>
            </w:pPr>
            <w:r w:rsidRPr="008F339D">
              <w:rPr>
                <w:rFonts w:cs="Arial"/>
                <w:sz w:val="18"/>
                <w:szCs w:val="18"/>
              </w:rPr>
              <w:t>4 4</w:t>
            </w:r>
            <w:r w:rsidRPr="00C66F85">
              <w:rPr>
                <w:rFonts w:cs="Arial"/>
                <w:sz w:val="18"/>
                <w:szCs w:val="18"/>
              </w:rPr>
              <w:t>70</w:t>
            </w:r>
          </w:p>
        </w:tc>
        <w:tc>
          <w:tcPr>
            <w:tcW w:w="1007" w:type="dxa"/>
            <w:noWrap/>
            <w:tcMar>
              <w:left w:w="57" w:type="dxa"/>
            </w:tcMar>
            <w:vAlign w:val="center"/>
          </w:tcPr>
          <w:p w14:paraId="43797686" w14:textId="7B31297E"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2 980</w:t>
            </w:r>
          </w:p>
        </w:tc>
        <w:tc>
          <w:tcPr>
            <w:tcW w:w="1008" w:type="dxa"/>
            <w:noWrap/>
            <w:tcMar>
              <w:left w:w="57" w:type="dxa"/>
            </w:tcMar>
            <w:vAlign w:val="center"/>
          </w:tcPr>
          <w:p w14:paraId="25C4D06B" w14:textId="584DA11C" w:rsidR="00FF58C3" w:rsidRPr="008F339D" w:rsidRDefault="00FF58C3" w:rsidP="00FF58C3">
            <w:pPr>
              <w:keepNext/>
              <w:spacing w:before="0" w:line="240" w:lineRule="atLeast"/>
              <w:ind w:firstLine="0"/>
              <w:jc w:val="right"/>
              <w:rPr>
                <w:rFonts w:cs="Arial"/>
                <w:sz w:val="18"/>
                <w:szCs w:val="18"/>
              </w:rPr>
            </w:pPr>
            <w:r>
              <w:rPr>
                <w:rFonts w:cs="Arial"/>
                <w:color w:val="000000"/>
                <w:sz w:val="18"/>
                <w:szCs w:val="18"/>
              </w:rPr>
              <w:t>3 637</w:t>
            </w:r>
          </w:p>
        </w:tc>
      </w:tr>
      <w:tr w:rsidR="00FF58C3" w:rsidRPr="008F339D" w14:paraId="637B498E" w14:textId="77777777" w:rsidTr="0003481B">
        <w:trPr>
          <w:trHeight w:val="283"/>
        </w:trPr>
        <w:tc>
          <w:tcPr>
            <w:tcW w:w="4376" w:type="dxa"/>
            <w:shd w:val="clear" w:color="auto" w:fill="BDD6EE"/>
            <w:vAlign w:val="center"/>
          </w:tcPr>
          <w:p w14:paraId="5EDFD49D" w14:textId="7D52BBF9" w:rsidR="00FF58C3" w:rsidRPr="008F339D" w:rsidRDefault="00FF58C3" w:rsidP="00FF58C3">
            <w:pPr>
              <w:keepNext/>
              <w:spacing w:before="0" w:line="240" w:lineRule="atLeast"/>
              <w:ind w:firstLine="0"/>
              <w:jc w:val="left"/>
              <w:rPr>
                <w:rFonts w:cs="Arial"/>
                <w:b/>
                <w:color w:val="000000"/>
                <w:sz w:val="18"/>
                <w:szCs w:val="18"/>
              </w:rPr>
            </w:pPr>
            <w:r w:rsidRPr="008F339D">
              <w:rPr>
                <w:rFonts w:cs="Arial"/>
                <w:b/>
                <w:color w:val="000000"/>
                <w:sz w:val="18"/>
                <w:szCs w:val="18"/>
              </w:rPr>
              <w:t>Suma všech nákladů [Kč]</w:t>
            </w:r>
          </w:p>
        </w:tc>
        <w:tc>
          <w:tcPr>
            <w:tcW w:w="667" w:type="dxa"/>
            <w:shd w:val="clear" w:color="auto" w:fill="BDD6EE"/>
            <w:vAlign w:val="center"/>
          </w:tcPr>
          <w:p w14:paraId="4BEC6CBE" w14:textId="77777777" w:rsidR="00FF58C3" w:rsidRPr="008F339D" w:rsidRDefault="00FF58C3" w:rsidP="00FF58C3">
            <w:pPr>
              <w:keepNext/>
              <w:spacing w:before="0" w:line="240" w:lineRule="atLeast"/>
              <w:ind w:firstLine="0"/>
              <w:jc w:val="right"/>
              <w:rPr>
                <w:rFonts w:cs="Arial"/>
                <w:b/>
                <w:color w:val="000000"/>
                <w:sz w:val="18"/>
                <w:szCs w:val="18"/>
              </w:rPr>
            </w:pPr>
            <w:r w:rsidRPr="008F339D">
              <w:rPr>
                <w:rFonts w:cs="Arial"/>
                <w:b/>
                <w:color w:val="000000"/>
                <w:sz w:val="18"/>
                <w:szCs w:val="18"/>
              </w:rPr>
              <w:t>—</w:t>
            </w:r>
          </w:p>
        </w:tc>
        <w:tc>
          <w:tcPr>
            <w:tcW w:w="1007" w:type="dxa"/>
            <w:shd w:val="clear" w:color="auto" w:fill="BDD6EE"/>
            <w:noWrap/>
            <w:tcMar>
              <w:left w:w="57" w:type="dxa"/>
            </w:tcMar>
            <w:vAlign w:val="center"/>
          </w:tcPr>
          <w:p w14:paraId="48148978" w14:textId="6898BFBA" w:rsidR="00FF58C3" w:rsidRPr="008F339D" w:rsidRDefault="00FF58C3" w:rsidP="00FF58C3">
            <w:pPr>
              <w:keepNext/>
              <w:spacing w:before="0" w:line="240" w:lineRule="atLeast"/>
              <w:ind w:firstLine="0"/>
              <w:jc w:val="right"/>
              <w:rPr>
                <w:rFonts w:cs="Arial"/>
                <w:b/>
                <w:color w:val="000000"/>
                <w:sz w:val="18"/>
                <w:szCs w:val="18"/>
              </w:rPr>
            </w:pPr>
            <w:r>
              <w:rPr>
                <w:rFonts w:cs="Arial"/>
                <w:b/>
                <w:color w:val="000000"/>
                <w:sz w:val="18"/>
                <w:szCs w:val="18"/>
              </w:rPr>
              <w:t>2</w:t>
            </w:r>
            <w:r w:rsidRPr="008F339D">
              <w:rPr>
                <w:rFonts w:cs="Arial"/>
                <w:b/>
                <w:color w:val="000000"/>
                <w:sz w:val="18"/>
                <w:szCs w:val="18"/>
              </w:rPr>
              <w:t>1 </w:t>
            </w:r>
            <w:r>
              <w:rPr>
                <w:rFonts w:cs="Arial"/>
                <w:b/>
                <w:color w:val="000000"/>
                <w:sz w:val="18"/>
                <w:szCs w:val="18"/>
              </w:rPr>
              <w:t>543</w:t>
            </w:r>
          </w:p>
        </w:tc>
        <w:tc>
          <w:tcPr>
            <w:tcW w:w="1007" w:type="dxa"/>
            <w:shd w:val="clear" w:color="auto" w:fill="BDD6EE"/>
            <w:noWrap/>
            <w:tcMar>
              <w:left w:w="57" w:type="dxa"/>
            </w:tcMar>
            <w:vAlign w:val="center"/>
          </w:tcPr>
          <w:p w14:paraId="56EA8F44" w14:textId="099AC294" w:rsidR="00FF58C3" w:rsidRPr="008F339D" w:rsidRDefault="00FF58C3" w:rsidP="00FF58C3">
            <w:pPr>
              <w:keepNext/>
              <w:spacing w:before="0" w:line="240" w:lineRule="atLeast"/>
              <w:ind w:firstLine="0"/>
              <w:jc w:val="right"/>
              <w:rPr>
                <w:rFonts w:cs="Arial"/>
                <w:b/>
                <w:color w:val="000000"/>
                <w:sz w:val="18"/>
                <w:szCs w:val="18"/>
              </w:rPr>
            </w:pPr>
            <w:r>
              <w:rPr>
                <w:rFonts w:cs="Arial"/>
                <w:b/>
                <w:color w:val="000000"/>
                <w:sz w:val="18"/>
                <w:szCs w:val="18"/>
              </w:rPr>
              <w:t>2</w:t>
            </w:r>
            <w:r w:rsidRPr="008F339D">
              <w:rPr>
                <w:rFonts w:cs="Arial"/>
                <w:b/>
                <w:color w:val="000000"/>
                <w:sz w:val="18"/>
                <w:szCs w:val="18"/>
              </w:rPr>
              <w:t>5 </w:t>
            </w:r>
            <w:r>
              <w:rPr>
                <w:rFonts w:cs="Arial"/>
                <w:b/>
                <w:color w:val="000000"/>
                <w:sz w:val="18"/>
                <w:szCs w:val="18"/>
              </w:rPr>
              <w:t>349</w:t>
            </w:r>
          </w:p>
        </w:tc>
        <w:tc>
          <w:tcPr>
            <w:tcW w:w="1007" w:type="dxa"/>
            <w:shd w:val="clear" w:color="auto" w:fill="BDD6EE"/>
            <w:noWrap/>
            <w:tcMar>
              <w:left w:w="57" w:type="dxa"/>
            </w:tcMar>
            <w:vAlign w:val="center"/>
          </w:tcPr>
          <w:p w14:paraId="7F871943" w14:textId="43BB4219" w:rsidR="00FF58C3" w:rsidRPr="008F339D" w:rsidRDefault="00FF58C3" w:rsidP="00FF58C3">
            <w:pPr>
              <w:keepNext/>
              <w:spacing w:before="0" w:line="240" w:lineRule="atLeast"/>
              <w:ind w:firstLine="0"/>
              <w:jc w:val="right"/>
              <w:rPr>
                <w:rFonts w:cs="Arial"/>
                <w:b/>
                <w:color w:val="000000"/>
                <w:sz w:val="18"/>
                <w:szCs w:val="18"/>
              </w:rPr>
            </w:pPr>
            <w:r>
              <w:rPr>
                <w:rFonts w:cs="Arial"/>
                <w:b/>
                <w:bCs/>
                <w:color w:val="000000"/>
                <w:sz w:val="18"/>
                <w:szCs w:val="18"/>
              </w:rPr>
              <w:t>13 251</w:t>
            </w:r>
          </w:p>
        </w:tc>
        <w:tc>
          <w:tcPr>
            <w:tcW w:w="1008" w:type="dxa"/>
            <w:shd w:val="clear" w:color="auto" w:fill="BDD6EE"/>
            <w:noWrap/>
            <w:tcMar>
              <w:left w:w="57" w:type="dxa"/>
            </w:tcMar>
            <w:vAlign w:val="center"/>
          </w:tcPr>
          <w:p w14:paraId="7CE11F50" w14:textId="78854A41" w:rsidR="00FF58C3" w:rsidRPr="008F339D" w:rsidRDefault="00FF58C3" w:rsidP="00FF58C3">
            <w:pPr>
              <w:keepNext/>
              <w:spacing w:before="0" w:line="240" w:lineRule="atLeast"/>
              <w:ind w:firstLine="0"/>
              <w:jc w:val="right"/>
              <w:rPr>
                <w:rFonts w:cs="Arial"/>
                <w:b/>
                <w:color w:val="000000"/>
                <w:sz w:val="18"/>
                <w:szCs w:val="18"/>
              </w:rPr>
            </w:pPr>
            <w:r>
              <w:rPr>
                <w:rFonts w:cs="Arial"/>
                <w:b/>
                <w:bCs/>
                <w:color w:val="000000"/>
                <w:sz w:val="18"/>
                <w:szCs w:val="18"/>
              </w:rPr>
              <w:t>15 304</w:t>
            </w:r>
          </w:p>
        </w:tc>
      </w:tr>
    </w:tbl>
    <w:p w14:paraId="18E6C111" w14:textId="77777777" w:rsidR="00616C5B" w:rsidRPr="008735CB" w:rsidRDefault="00616C5B" w:rsidP="00616C5B">
      <w:pPr>
        <w:pStyle w:val="Zdroje"/>
        <w:spacing w:after="240"/>
      </w:pPr>
      <w:r w:rsidRPr="008735CB">
        <w:t>Zdroj: Dotazníkové šetření u chovatelů hospodářských zvířat v oblastech s výskytem vlka, ÚZEI 2023</w:t>
      </w:r>
    </w:p>
    <w:p w14:paraId="67896784" w14:textId="11501A77" w:rsidR="00616C5B" w:rsidRDefault="00616C5B" w:rsidP="00616C5B">
      <w:r>
        <w:t xml:space="preserve">V případě, že se souhrn nákladů vypočítá jako suma všech nákladů plynoucích z organizace pastvy s využitím oplocení u každého jednotlivého respondenta, činí průměr těchto celkových nákladů </w:t>
      </w:r>
      <w:r w:rsidRPr="00DA3941">
        <w:rPr>
          <w:b/>
          <w:bCs/>
        </w:rPr>
        <w:t>14 067 Kč/ha pastviny</w:t>
      </w:r>
      <w:r>
        <w:t xml:space="preserve">, případně </w:t>
      </w:r>
      <w:r w:rsidRPr="00DA3941">
        <w:rPr>
          <w:b/>
          <w:bCs/>
        </w:rPr>
        <w:t>16 260 Kč/VDJ</w:t>
      </w:r>
      <w:r>
        <w:t xml:space="preserve"> (viz </w:t>
      </w:r>
      <w:r>
        <w:fldChar w:fldCharType="begin"/>
      </w:r>
      <w:r>
        <w:instrText xml:space="preserve"> REF _Ref135307229 \h </w:instrText>
      </w:r>
      <w:r>
        <w:fldChar w:fldCharType="separate"/>
      </w:r>
      <w:r w:rsidR="00486DB8">
        <w:t>Tab. </w:t>
      </w:r>
      <w:r w:rsidR="00486DB8">
        <w:rPr>
          <w:noProof/>
        </w:rPr>
        <w:t>5</w:t>
      </w:r>
      <w:r>
        <w:fldChar w:fldCharType="end"/>
      </w:r>
      <w:r>
        <w:t>). U každého respondenta byla vytvořena suma nákladů z položek, které chovatel v dotazníku vyplnil a lze tedy usuzovat, že tato opatření reálně provádí. Všechny položky jsou opět přepočteny na hektar pastviny v obou sledovaných obdobích (před výskytem vlka a v současnosti) a následně je vypočítán rozdíl těchto nákladů. Totéž je provedeno i při přepočtu na velkou dobytčí jednotku. Pro výpočet průměru jsou brány v úvahu údaje celkem od 55 respondentů</w:t>
      </w:r>
      <w:r>
        <w:rPr>
          <w:rStyle w:val="Znakapoznpodarou"/>
        </w:rPr>
        <w:footnoteReference w:id="6"/>
      </w:r>
      <w:r>
        <w:t xml:space="preserve">, ze kterých je odstraněno 15 % odlehlých hodnot (8 údajů). Tento způsob výpočtu zohledňuje aktuální strukturu používaných opatření na ochranu stád mezi oslovenými chovateli při pastvě s využitím oplocení a do jisté míry tedy i váhu využívání jednotlivých typů opatření (četnost výskytu viz </w:t>
      </w:r>
      <w:r>
        <w:fldChar w:fldCharType="begin"/>
      </w:r>
      <w:r>
        <w:instrText xml:space="preserve"> REF _Ref109805796 \h </w:instrText>
      </w:r>
      <w:r>
        <w:fldChar w:fldCharType="separate"/>
      </w:r>
      <w:r w:rsidR="00486DB8">
        <w:t>Tab. </w:t>
      </w:r>
      <w:r w:rsidR="00486DB8">
        <w:rPr>
          <w:noProof/>
        </w:rPr>
        <w:t>2</w:t>
      </w:r>
      <w:r>
        <w:fldChar w:fldCharType="end"/>
      </w:r>
      <w:r>
        <w:t>). Při tomto výpočtu nejsou uvažovány náklady vynaložené na „provoz“ psů, ani na organizaci volné pastvy.</w:t>
      </w:r>
    </w:p>
    <w:p w14:paraId="1D551197" w14:textId="783805D9" w:rsidR="00616C5B" w:rsidRDefault="00616C5B" w:rsidP="00616C5B">
      <w:pPr>
        <w:pStyle w:val="Titulek"/>
      </w:pPr>
      <w:bookmarkStart w:id="47" w:name="_Ref137641974"/>
      <w:bookmarkStart w:id="48" w:name="_Ref135307229"/>
      <w:bookmarkStart w:id="49" w:name="_Toc138062292"/>
      <w:r>
        <w:t>Tab. </w:t>
      </w:r>
      <w:r w:rsidR="00F41AB0">
        <w:fldChar w:fldCharType="begin"/>
      </w:r>
      <w:r w:rsidR="00F41AB0">
        <w:instrText xml:space="preserve"> SEQ Tab. \* ARABIC </w:instrText>
      </w:r>
      <w:r w:rsidR="00F41AB0">
        <w:fldChar w:fldCharType="separate"/>
      </w:r>
      <w:r w:rsidR="00486DB8">
        <w:rPr>
          <w:noProof/>
        </w:rPr>
        <w:t>5</w:t>
      </w:r>
      <w:r w:rsidR="00F41AB0">
        <w:rPr>
          <w:noProof/>
        </w:rPr>
        <w:fldChar w:fldCharType="end"/>
      </w:r>
      <w:bookmarkEnd w:id="47"/>
      <w:bookmarkEnd w:id="48"/>
      <w:r>
        <w:t xml:space="preserve"> Souhrn všech nákladů na pastvu s využitím oplocení – suma všech nákladů jednotlivých respondentů a následně vytvořený průměr celkových nákladů</w:t>
      </w:r>
      <w:bookmarkEnd w:id="49"/>
    </w:p>
    <w:tbl>
      <w:tblPr>
        <w:tblStyle w:val="Mkatabulky"/>
        <w:tblW w:w="9044" w:type="dxa"/>
        <w:tblLayout w:type="fixed"/>
        <w:tblLook w:val="04A0" w:firstRow="1" w:lastRow="0" w:firstColumn="1" w:lastColumn="0" w:noHBand="0" w:noVBand="1"/>
      </w:tblPr>
      <w:tblGrid>
        <w:gridCol w:w="6082"/>
        <w:gridCol w:w="1481"/>
        <w:gridCol w:w="1481"/>
      </w:tblGrid>
      <w:tr w:rsidR="008F3E2D" w:rsidRPr="00371E84" w14:paraId="51089AF3" w14:textId="77777777" w:rsidTr="008F3E2D">
        <w:trPr>
          <w:trHeight w:val="300"/>
        </w:trPr>
        <w:tc>
          <w:tcPr>
            <w:tcW w:w="6082" w:type="dxa"/>
            <w:vMerge w:val="restart"/>
            <w:shd w:val="clear" w:color="auto" w:fill="BDD6EE"/>
            <w:vAlign w:val="center"/>
          </w:tcPr>
          <w:p w14:paraId="63909124" w14:textId="77777777" w:rsidR="008F3E2D" w:rsidRDefault="008F3E2D" w:rsidP="0003481B">
            <w:pPr>
              <w:keepNext/>
              <w:spacing w:before="0" w:line="240" w:lineRule="atLeast"/>
              <w:ind w:firstLine="0"/>
              <w:jc w:val="left"/>
              <w:rPr>
                <w:b/>
                <w:sz w:val="18"/>
                <w:szCs w:val="18"/>
              </w:rPr>
            </w:pPr>
            <w:r w:rsidRPr="008F64B0">
              <w:rPr>
                <w:b/>
                <w:sz w:val="18"/>
                <w:szCs w:val="18"/>
              </w:rPr>
              <w:t>PASTVA S VYUŽITÍM OPLOCENÍ</w:t>
            </w:r>
          </w:p>
          <w:p w14:paraId="3C1CF043" w14:textId="77777777" w:rsidR="008F3E2D" w:rsidRPr="003A36B4" w:rsidRDefault="008F3E2D" w:rsidP="0003481B">
            <w:pPr>
              <w:keepNext/>
              <w:spacing w:before="0" w:line="240" w:lineRule="atLeast"/>
              <w:ind w:firstLine="0"/>
              <w:jc w:val="left"/>
              <w:rPr>
                <w:b/>
                <w:bCs/>
                <w:sz w:val="18"/>
                <w:szCs w:val="18"/>
              </w:rPr>
            </w:pPr>
            <w:r w:rsidRPr="00543387">
              <w:rPr>
                <w:b/>
                <w:bCs/>
                <w:sz w:val="18"/>
                <w:szCs w:val="18"/>
              </w:rPr>
              <w:t>[Kč/rok]</w:t>
            </w:r>
          </w:p>
        </w:tc>
        <w:tc>
          <w:tcPr>
            <w:tcW w:w="2962" w:type="dxa"/>
            <w:gridSpan w:val="2"/>
            <w:shd w:val="clear" w:color="auto" w:fill="BDD6EE"/>
            <w:vAlign w:val="center"/>
          </w:tcPr>
          <w:p w14:paraId="3D3A208B" w14:textId="77777777" w:rsidR="008F3E2D" w:rsidRPr="009641DC" w:rsidRDefault="008F3E2D" w:rsidP="0003481B">
            <w:pPr>
              <w:keepNext/>
              <w:spacing w:before="0" w:line="240" w:lineRule="atLeast"/>
              <w:ind w:firstLine="0"/>
              <w:jc w:val="center"/>
              <w:rPr>
                <w:b/>
                <w:sz w:val="18"/>
                <w:szCs w:val="18"/>
              </w:rPr>
            </w:pPr>
            <w:r w:rsidRPr="008E72C6">
              <w:rPr>
                <w:b/>
                <w:sz w:val="18"/>
                <w:szCs w:val="18"/>
              </w:rPr>
              <w:t xml:space="preserve">Průměr s odstraněním </w:t>
            </w:r>
            <w:r>
              <w:rPr>
                <w:b/>
                <w:sz w:val="18"/>
                <w:szCs w:val="18"/>
              </w:rPr>
              <w:t>odlehlých</w:t>
            </w:r>
            <w:r w:rsidRPr="008E72C6">
              <w:rPr>
                <w:b/>
                <w:sz w:val="18"/>
                <w:szCs w:val="18"/>
              </w:rPr>
              <w:t xml:space="preserve"> hodnot</w:t>
            </w:r>
          </w:p>
        </w:tc>
      </w:tr>
      <w:tr w:rsidR="008F3E2D" w:rsidRPr="00371E84" w14:paraId="4B42E7CF" w14:textId="77777777" w:rsidTr="008F3E2D">
        <w:trPr>
          <w:trHeight w:val="300"/>
        </w:trPr>
        <w:tc>
          <w:tcPr>
            <w:tcW w:w="6082" w:type="dxa"/>
            <w:vMerge/>
            <w:shd w:val="clear" w:color="auto" w:fill="BDD6EE"/>
            <w:vAlign w:val="center"/>
          </w:tcPr>
          <w:p w14:paraId="522D421B" w14:textId="77777777" w:rsidR="008F3E2D" w:rsidRPr="008F64B0" w:rsidRDefault="008F3E2D" w:rsidP="0003481B">
            <w:pPr>
              <w:keepNext/>
              <w:spacing w:before="0" w:line="240" w:lineRule="atLeast"/>
              <w:ind w:firstLine="0"/>
              <w:jc w:val="left"/>
              <w:rPr>
                <w:b/>
                <w:sz w:val="18"/>
                <w:szCs w:val="18"/>
              </w:rPr>
            </w:pPr>
          </w:p>
        </w:tc>
        <w:tc>
          <w:tcPr>
            <w:tcW w:w="1481" w:type="dxa"/>
            <w:shd w:val="clear" w:color="auto" w:fill="BDD6EE"/>
            <w:vAlign w:val="center"/>
          </w:tcPr>
          <w:p w14:paraId="2D4DD9E1" w14:textId="77777777" w:rsidR="008F3E2D" w:rsidRPr="008E72C6" w:rsidRDefault="008F3E2D" w:rsidP="0003481B">
            <w:pPr>
              <w:keepNext/>
              <w:spacing w:before="0" w:line="240" w:lineRule="atLeast"/>
              <w:ind w:firstLine="0"/>
              <w:jc w:val="center"/>
              <w:rPr>
                <w:b/>
                <w:sz w:val="18"/>
                <w:szCs w:val="18"/>
              </w:rPr>
            </w:pPr>
            <w:r>
              <w:rPr>
                <w:b/>
                <w:sz w:val="18"/>
                <w:szCs w:val="18"/>
              </w:rPr>
              <w:t>NA HA</w:t>
            </w:r>
          </w:p>
        </w:tc>
        <w:tc>
          <w:tcPr>
            <w:tcW w:w="1481" w:type="dxa"/>
            <w:shd w:val="clear" w:color="auto" w:fill="BDD6EE"/>
            <w:vAlign w:val="center"/>
          </w:tcPr>
          <w:p w14:paraId="1EAC5EF0" w14:textId="77777777" w:rsidR="008F3E2D" w:rsidRPr="008E72C6" w:rsidRDefault="008F3E2D" w:rsidP="0003481B">
            <w:pPr>
              <w:keepNext/>
              <w:spacing w:before="0" w:line="240" w:lineRule="atLeast"/>
              <w:ind w:firstLine="0"/>
              <w:jc w:val="center"/>
              <w:rPr>
                <w:b/>
                <w:sz w:val="18"/>
                <w:szCs w:val="18"/>
              </w:rPr>
            </w:pPr>
            <w:r>
              <w:rPr>
                <w:b/>
                <w:sz w:val="18"/>
                <w:szCs w:val="18"/>
              </w:rPr>
              <w:t>NA VDJ</w:t>
            </w:r>
          </w:p>
        </w:tc>
      </w:tr>
      <w:tr w:rsidR="008F3E2D" w:rsidRPr="0093730B" w14:paraId="277D5D64" w14:textId="77777777" w:rsidTr="008F3E2D">
        <w:trPr>
          <w:trHeight w:val="300"/>
        </w:trPr>
        <w:tc>
          <w:tcPr>
            <w:tcW w:w="6082" w:type="dxa"/>
            <w:vAlign w:val="center"/>
          </w:tcPr>
          <w:p w14:paraId="60C3C9E3" w14:textId="77777777" w:rsidR="008F3E2D" w:rsidRPr="0093730B" w:rsidRDefault="008F3E2D" w:rsidP="0003481B">
            <w:pPr>
              <w:keepNext/>
              <w:spacing w:before="0" w:line="240" w:lineRule="atLeast"/>
              <w:ind w:firstLine="0"/>
              <w:jc w:val="left"/>
              <w:rPr>
                <w:rFonts w:cs="Arial"/>
                <w:color w:val="000000"/>
                <w:sz w:val="18"/>
                <w:szCs w:val="18"/>
              </w:rPr>
            </w:pPr>
            <w:r>
              <w:rPr>
                <w:rFonts w:cs="Arial"/>
                <w:color w:val="000000"/>
                <w:sz w:val="18"/>
                <w:szCs w:val="18"/>
              </w:rPr>
              <w:t>Počet údajů zahrnutých do výpočtu</w:t>
            </w:r>
          </w:p>
        </w:tc>
        <w:tc>
          <w:tcPr>
            <w:tcW w:w="2962" w:type="dxa"/>
            <w:gridSpan w:val="2"/>
            <w:vAlign w:val="center"/>
          </w:tcPr>
          <w:p w14:paraId="5224F390" w14:textId="77777777" w:rsidR="008F3E2D" w:rsidRPr="008F64B0" w:rsidRDefault="008F3E2D" w:rsidP="0003481B">
            <w:pPr>
              <w:keepNext/>
              <w:spacing w:before="0" w:line="240" w:lineRule="atLeast"/>
              <w:ind w:firstLine="0"/>
              <w:jc w:val="center"/>
              <w:rPr>
                <w:sz w:val="18"/>
                <w:szCs w:val="18"/>
              </w:rPr>
            </w:pPr>
            <w:r>
              <w:rPr>
                <w:sz w:val="18"/>
                <w:szCs w:val="18"/>
              </w:rPr>
              <w:t>47</w:t>
            </w:r>
          </w:p>
        </w:tc>
      </w:tr>
      <w:tr w:rsidR="008F3E2D" w:rsidRPr="0093730B" w14:paraId="66B0D86B" w14:textId="77777777" w:rsidTr="008F3E2D">
        <w:trPr>
          <w:trHeight w:val="300"/>
        </w:trPr>
        <w:tc>
          <w:tcPr>
            <w:tcW w:w="6082" w:type="dxa"/>
            <w:vAlign w:val="center"/>
          </w:tcPr>
          <w:p w14:paraId="0F749847" w14:textId="77777777" w:rsidR="008F3E2D" w:rsidRDefault="008F3E2D" w:rsidP="0003481B">
            <w:pPr>
              <w:keepNext/>
              <w:spacing w:before="0" w:line="240" w:lineRule="atLeast"/>
              <w:ind w:firstLine="0"/>
              <w:jc w:val="left"/>
              <w:rPr>
                <w:rFonts w:cs="Arial"/>
                <w:color w:val="000000"/>
                <w:sz w:val="18"/>
                <w:szCs w:val="18"/>
              </w:rPr>
            </w:pPr>
            <w:r>
              <w:rPr>
                <w:rFonts w:cs="Arial"/>
                <w:color w:val="000000"/>
                <w:sz w:val="18"/>
                <w:szCs w:val="18"/>
              </w:rPr>
              <w:t>Celkové náklady před výskytem vlka</w:t>
            </w:r>
          </w:p>
        </w:tc>
        <w:tc>
          <w:tcPr>
            <w:tcW w:w="1481" w:type="dxa"/>
            <w:vAlign w:val="center"/>
          </w:tcPr>
          <w:p w14:paraId="07029232" w14:textId="77777777" w:rsidR="008F3E2D" w:rsidRPr="002C031F" w:rsidRDefault="008F3E2D" w:rsidP="0003481B">
            <w:pPr>
              <w:keepNext/>
              <w:spacing w:before="0" w:line="240" w:lineRule="atLeast"/>
              <w:ind w:firstLine="0"/>
              <w:jc w:val="right"/>
              <w:rPr>
                <w:sz w:val="18"/>
                <w:szCs w:val="18"/>
              </w:rPr>
            </w:pPr>
            <w:r w:rsidRPr="00DA3941">
              <w:rPr>
                <w:rFonts w:cs="Arial"/>
                <w:color w:val="000000"/>
                <w:sz w:val="18"/>
                <w:szCs w:val="18"/>
              </w:rPr>
              <w:t>7 027</w:t>
            </w:r>
          </w:p>
        </w:tc>
        <w:tc>
          <w:tcPr>
            <w:tcW w:w="1481" w:type="dxa"/>
            <w:vAlign w:val="center"/>
          </w:tcPr>
          <w:p w14:paraId="08AF36B3" w14:textId="77777777" w:rsidR="008F3E2D" w:rsidRPr="002C031F" w:rsidRDefault="008F3E2D" w:rsidP="0003481B">
            <w:pPr>
              <w:keepNext/>
              <w:spacing w:before="0" w:line="240" w:lineRule="atLeast"/>
              <w:ind w:firstLine="0"/>
              <w:jc w:val="right"/>
              <w:rPr>
                <w:sz w:val="18"/>
                <w:szCs w:val="18"/>
              </w:rPr>
            </w:pPr>
            <w:r w:rsidRPr="00DA3941">
              <w:rPr>
                <w:rFonts w:cs="Arial"/>
                <w:color w:val="000000"/>
                <w:sz w:val="18"/>
                <w:szCs w:val="18"/>
              </w:rPr>
              <w:t>7 642</w:t>
            </w:r>
          </w:p>
        </w:tc>
      </w:tr>
      <w:tr w:rsidR="008F3E2D" w:rsidRPr="0093730B" w14:paraId="07791C61" w14:textId="77777777" w:rsidTr="008F3E2D">
        <w:trPr>
          <w:trHeight w:val="300"/>
        </w:trPr>
        <w:tc>
          <w:tcPr>
            <w:tcW w:w="6082" w:type="dxa"/>
            <w:vAlign w:val="center"/>
          </w:tcPr>
          <w:p w14:paraId="296B753D" w14:textId="77777777" w:rsidR="008F3E2D" w:rsidRDefault="008F3E2D" w:rsidP="0003481B">
            <w:pPr>
              <w:keepNext/>
              <w:spacing w:before="0" w:line="240" w:lineRule="atLeast"/>
              <w:ind w:firstLine="0"/>
              <w:jc w:val="left"/>
              <w:rPr>
                <w:rFonts w:cs="Arial"/>
                <w:color w:val="000000"/>
                <w:sz w:val="18"/>
                <w:szCs w:val="18"/>
              </w:rPr>
            </w:pPr>
            <w:r>
              <w:rPr>
                <w:rFonts w:cs="Arial"/>
                <w:color w:val="000000"/>
                <w:sz w:val="18"/>
                <w:szCs w:val="18"/>
              </w:rPr>
              <w:t>Celkové náklady v současnosti (výskyt vlka)</w:t>
            </w:r>
          </w:p>
        </w:tc>
        <w:tc>
          <w:tcPr>
            <w:tcW w:w="1481" w:type="dxa"/>
            <w:vAlign w:val="center"/>
          </w:tcPr>
          <w:p w14:paraId="1A7D5C03" w14:textId="77777777" w:rsidR="008F3E2D" w:rsidRPr="002C031F" w:rsidRDefault="008F3E2D" w:rsidP="0003481B">
            <w:pPr>
              <w:keepNext/>
              <w:spacing w:before="0" w:line="240" w:lineRule="atLeast"/>
              <w:ind w:firstLine="0"/>
              <w:jc w:val="right"/>
              <w:rPr>
                <w:sz w:val="18"/>
                <w:szCs w:val="18"/>
              </w:rPr>
            </w:pPr>
            <w:r w:rsidRPr="00DA3941">
              <w:rPr>
                <w:rFonts w:cs="Arial"/>
                <w:color w:val="000000"/>
                <w:sz w:val="18"/>
                <w:szCs w:val="18"/>
              </w:rPr>
              <w:t>21 442</w:t>
            </w:r>
          </w:p>
        </w:tc>
        <w:tc>
          <w:tcPr>
            <w:tcW w:w="1481" w:type="dxa"/>
            <w:vAlign w:val="center"/>
          </w:tcPr>
          <w:p w14:paraId="563F9111" w14:textId="77777777" w:rsidR="008F3E2D" w:rsidRPr="002C031F" w:rsidRDefault="008F3E2D" w:rsidP="0003481B">
            <w:pPr>
              <w:keepNext/>
              <w:spacing w:before="0" w:line="240" w:lineRule="atLeast"/>
              <w:ind w:firstLine="0"/>
              <w:jc w:val="right"/>
              <w:rPr>
                <w:sz w:val="18"/>
                <w:szCs w:val="18"/>
              </w:rPr>
            </w:pPr>
            <w:r w:rsidRPr="00DA3941">
              <w:rPr>
                <w:rFonts w:cs="Arial"/>
                <w:color w:val="000000"/>
                <w:sz w:val="18"/>
                <w:szCs w:val="18"/>
              </w:rPr>
              <w:t>24 108</w:t>
            </w:r>
          </w:p>
        </w:tc>
      </w:tr>
      <w:tr w:rsidR="008F3E2D" w:rsidRPr="0093730B" w14:paraId="3EFE03F8" w14:textId="77777777" w:rsidTr="008F3E2D">
        <w:trPr>
          <w:trHeight w:val="300"/>
        </w:trPr>
        <w:tc>
          <w:tcPr>
            <w:tcW w:w="6082" w:type="dxa"/>
            <w:shd w:val="clear" w:color="auto" w:fill="BDD6EE"/>
            <w:vAlign w:val="center"/>
          </w:tcPr>
          <w:p w14:paraId="4C427AB2" w14:textId="77777777" w:rsidR="008F3E2D" w:rsidRPr="008F64B0" w:rsidRDefault="008F3E2D" w:rsidP="0003481B">
            <w:pPr>
              <w:keepNext/>
              <w:spacing w:before="0" w:line="240" w:lineRule="atLeast"/>
              <w:ind w:firstLine="0"/>
              <w:jc w:val="left"/>
              <w:rPr>
                <w:rFonts w:cs="Arial"/>
                <w:b/>
                <w:color w:val="000000"/>
                <w:sz w:val="18"/>
                <w:szCs w:val="18"/>
              </w:rPr>
            </w:pPr>
            <w:r>
              <w:rPr>
                <w:rFonts w:cs="Arial"/>
                <w:b/>
                <w:color w:val="000000"/>
                <w:sz w:val="18"/>
                <w:szCs w:val="18"/>
              </w:rPr>
              <w:t>Rozdíl z důvodu vyšší náročnosti – s</w:t>
            </w:r>
            <w:r w:rsidRPr="008F64B0">
              <w:rPr>
                <w:rFonts w:cs="Arial"/>
                <w:b/>
                <w:color w:val="000000"/>
                <w:sz w:val="18"/>
                <w:szCs w:val="18"/>
              </w:rPr>
              <w:t>uma všech nákladů [Kč]</w:t>
            </w:r>
          </w:p>
        </w:tc>
        <w:tc>
          <w:tcPr>
            <w:tcW w:w="1481" w:type="dxa"/>
            <w:shd w:val="clear" w:color="auto" w:fill="BDD6EE"/>
            <w:vAlign w:val="center"/>
          </w:tcPr>
          <w:p w14:paraId="2D69E71E" w14:textId="77777777" w:rsidR="008F3E2D" w:rsidRPr="00A76B5A" w:rsidRDefault="008F3E2D" w:rsidP="0003481B">
            <w:pPr>
              <w:keepNext/>
              <w:spacing w:before="0" w:line="240" w:lineRule="atLeast"/>
              <w:ind w:firstLine="0"/>
              <w:jc w:val="right"/>
              <w:rPr>
                <w:rFonts w:cs="Arial"/>
                <w:b/>
                <w:color w:val="000000"/>
                <w:sz w:val="18"/>
                <w:szCs w:val="18"/>
              </w:rPr>
            </w:pPr>
            <w:r>
              <w:rPr>
                <w:rFonts w:cs="Arial"/>
                <w:b/>
                <w:color w:val="000000"/>
                <w:sz w:val="18"/>
                <w:szCs w:val="18"/>
              </w:rPr>
              <w:t>14 067 *</w:t>
            </w:r>
          </w:p>
        </w:tc>
        <w:tc>
          <w:tcPr>
            <w:tcW w:w="1481" w:type="dxa"/>
            <w:shd w:val="clear" w:color="auto" w:fill="BDD6EE"/>
            <w:vAlign w:val="center"/>
          </w:tcPr>
          <w:p w14:paraId="52D42551" w14:textId="77777777" w:rsidR="008F3E2D" w:rsidRPr="009641DC" w:rsidRDefault="008F3E2D" w:rsidP="0003481B">
            <w:pPr>
              <w:keepNext/>
              <w:spacing w:before="0" w:line="240" w:lineRule="atLeast"/>
              <w:ind w:firstLine="0"/>
              <w:jc w:val="right"/>
              <w:rPr>
                <w:rFonts w:cs="Arial"/>
                <w:b/>
                <w:color w:val="000000"/>
                <w:sz w:val="18"/>
                <w:szCs w:val="18"/>
              </w:rPr>
            </w:pPr>
            <w:r>
              <w:rPr>
                <w:rFonts w:cs="Arial"/>
                <w:b/>
                <w:color w:val="000000"/>
                <w:sz w:val="18"/>
                <w:szCs w:val="18"/>
              </w:rPr>
              <w:t>16 260 *</w:t>
            </w:r>
          </w:p>
        </w:tc>
      </w:tr>
    </w:tbl>
    <w:p w14:paraId="31EB1756" w14:textId="255ABB04" w:rsidR="00616C5B" w:rsidRDefault="00616C5B" w:rsidP="00616C5B">
      <w:pPr>
        <w:pStyle w:val="Zdroje"/>
        <w:keepNext/>
        <w:spacing w:after="240"/>
        <w:contextualSpacing/>
      </w:pPr>
      <w:r>
        <w:t>* Rozdíl nákladů z důvodu vyšší náročnosti, tj.</w:t>
      </w:r>
      <w:r w:rsidR="00707C7C">
        <w:t> </w:t>
      </w:r>
      <w:r>
        <w:t xml:space="preserve">porovnání nákladů v období před výskytem vlka a současnosti, se </w:t>
      </w:r>
      <w:r w:rsidR="00BD4B3E">
        <w:t xml:space="preserve">přesně </w:t>
      </w:r>
      <w:r>
        <w:t xml:space="preserve">nerovná jednoduchému rozdílu průměrných celkových nákladů v příslušných obdobích. Je </w:t>
      </w:r>
      <w:r w:rsidR="00BD4B3E">
        <w:t xml:space="preserve">to dáno způsobem výpočtu, kdy je rozdíl </w:t>
      </w:r>
      <w:r>
        <w:t xml:space="preserve">vypočítán vždy jednotlivě u každého respondenta a </w:t>
      </w:r>
      <w:r w:rsidR="00BD4B3E">
        <w:t xml:space="preserve">až </w:t>
      </w:r>
      <w:r>
        <w:t>poté je spočítán průměr bez 15 % odlehlých hodnot. Výsledná částka se proto liší o 34</w:t>
      </w:r>
      <w:r w:rsidR="00FF6705">
        <w:t>8</w:t>
      </w:r>
      <w:r>
        <w:t> Kč/ha, resp. o</w:t>
      </w:r>
      <w:r w:rsidR="009C0090">
        <w:t> </w:t>
      </w:r>
      <w:r>
        <w:t>20</w:t>
      </w:r>
      <w:r w:rsidR="00FF6705">
        <w:t>6</w:t>
      </w:r>
      <w:r>
        <w:t> Kč/VDJ než v případě prostého rozdílu uvedených hodnot.</w:t>
      </w:r>
    </w:p>
    <w:p w14:paraId="22EB1AB5" w14:textId="77777777" w:rsidR="00616C5B" w:rsidRDefault="00616C5B" w:rsidP="00616C5B">
      <w:pPr>
        <w:pStyle w:val="Zdroje"/>
        <w:spacing w:after="240"/>
      </w:pPr>
      <w:r w:rsidRPr="008735CB">
        <w:t>Zdroj: Dotazníkové šetření u chovatelů hospodářských zvířat v oblastech s výskytem vlka, ÚZEI 2023</w:t>
      </w:r>
    </w:p>
    <w:p w14:paraId="306C4AC7" w14:textId="24C53FFA" w:rsidR="00616C5B" w:rsidRDefault="00616C5B" w:rsidP="00EF651C">
      <w:pPr>
        <w:pStyle w:val="Nadpis3"/>
      </w:pPr>
      <w:bookmarkStart w:id="50" w:name="_Toc138062964"/>
      <w:bookmarkStart w:id="51" w:name="_Toc135304612"/>
      <w:bookmarkStart w:id="52" w:name="_Toc135304724"/>
      <w:bookmarkStart w:id="53" w:name="_Toc135304861"/>
      <w:bookmarkStart w:id="54" w:name="_Toc135304613"/>
      <w:bookmarkStart w:id="55" w:name="_Toc135304725"/>
      <w:bookmarkStart w:id="56" w:name="_Toc135304862"/>
      <w:bookmarkStart w:id="57" w:name="_Toc59005064"/>
      <w:bookmarkStart w:id="58" w:name="_Toc135304614"/>
      <w:bookmarkStart w:id="59" w:name="_Toc135304726"/>
      <w:bookmarkStart w:id="60" w:name="_Toc138062965"/>
      <w:bookmarkEnd w:id="50"/>
      <w:bookmarkEnd w:id="51"/>
      <w:bookmarkEnd w:id="52"/>
      <w:bookmarkEnd w:id="53"/>
      <w:bookmarkEnd w:id="54"/>
      <w:bookmarkEnd w:id="55"/>
      <w:bookmarkEnd w:id="56"/>
      <w:r w:rsidRPr="00C96A41">
        <w:lastRenderedPageBreak/>
        <w:t xml:space="preserve">Časová náročnost organizace </w:t>
      </w:r>
      <w:r>
        <w:t xml:space="preserve">volné </w:t>
      </w:r>
      <w:r w:rsidRPr="00C96A41">
        <w:t>pastvy</w:t>
      </w:r>
      <w:r>
        <w:t xml:space="preserve"> </w:t>
      </w:r>
      <w:bookmarkEnd w:id="57"/>
      <w:bookmarkEnd w:id="58"/>
      <w:bookmarkEnd w:id="59"/>
      <w:bookmarkEnd w:id="60"/>
    </w:p>
    <w:p w14:paraId="457D7089" w14:textId="77777777" w:rsidR="00616C5B" w:rsidRDefault="00616C5B" w:rsidP="00616C5B">
      <w:r>
        <w:t>Na</w:t>
      </w:r>
      <w:r w:rsidDel="006B7413">
        <w:t xml:space="preserve"> </w:t>
      </w:r>
      <w:r>
        <w:t>tuto část dotazníku odpovědělo celkem 9 </w:t>
      </w:r>
      <w:r w:rsidRPr="00735C0F">
        <w:t>resp</w:t>
      </w:r>
      <w:r w:rsidRPr="002841E2">
        <w:t>ondentů</w:t>
      </w:r>
      <w:r>
        <w:t xml:space="preserve"> (15,3 % dotazovaných), přičemž všichni uvedli, že oba typy pastvy kombinují. Všech 9 respondentů tedy při pastvě zvířat (alespoň na části svých pozemků) využívá i nějaký typ oplocení.</w:t>
      </w:r>
    </w:p>
    <w:p w14:paraId="63E0EFE1" w14:textId="490DBEAD" w:rsidR="00616C5B" w:rsidRDefault="006B2C87" w:rsidP="00616C5B">
      <w:r>
        <w:t>Tím,</w:t>
      </w:r>
      <w:r w:rsidR="00616C5B">
        <w:t xml:space="preserve"> že volnou pastvu provozuje pouze 9 subjektů v šetření, a navíc tak činí pouze na části svých pastvin</w:t>
      </w:r>
      <w:r>
        <w:t>, není r</w:t>
      </w:r>
      <w:r w:rsidR="00616C5B">
        <w:t xml:space="preserve">eprezentativnost </w:t>
      </w:r>
      <w:r w:rsidR="003C5218">
        <w:t xml:space="preserve">dat </w:t>
      </w:r>
      <w:r w:rsidR="00616C5B">
        <w:t>zaručena. Údaje k volné pastvě proto nedoporučujeme při stanovení újmy používat.</w:t>
      </w:r>
      <w:r w:rsidR="00F648D0">
        <w:t xml:space="preserve"> Nicméně je zjevné, že zvýšené náklady na volnou pastvu nejsou zásadně nižší v porovnání s náklady na pastvu s využitím oplocení.</w:t>
      </w:r>
    </w:p>
    <w:p w14:paraId="475F63E7" w14:textId="77777777" w:rsidR="00616C5B" w:rsidRPr="00004F71" w:rsidRDefault="00616C5B" w:rsidP="00EF651C">
      <w:pPr>
        <w:pStyle w:val="Nadpis3"/>
      </w:pPr>
      <w:bookmarkStart w:id="61" w:name="_Toc135304615"/>
      <w:bookmarkStart w:id="62" w:name="_Toc135304727"/>
      <w:bookmarkStart w:id="63" w:name="_Toc135304864"/>
      <w:bookmarkStart w:id="64" w:name="_Toc59005065"/>
      <w:bookmarkStart w:id="65" w:name="_Toc135304616"/>
      <w:bookmarkStart w:id="66" w:name="_Toc135304728"/>
      <w:bookmarkStart w:id="67" w:name="_Toc138062966"/>
      <w:bookmarkEnd w:id="61"/>
      <w:bookmarkEnd w:id="62"/>
      <w:bookmarkEnd w:id="63"/>
      <w:r w:rsidRPr="00416575">
        <w:t xml:space="preserve">Náklady na </w:t>
      </w:r>
      <w:r w:rsidRPr="00E96986">
        <w:t>pasteveckého</w:t>
      </w:r>
      <w:r w:rsidRPr="00416575">
        <w:t xml:space="preserve"> psa</w:t>
      </w:r>
      <w:bookmarkEnd w:id="64"/>
      <w:bookmarkEnd w:id="65"/>
      <w:bookmarkEnd w:id="66"/>
      <w:bookmarkEnd w:id="67"/>
    </w:p>
    <w:p w14:paraId="3188749A" w14:textId="77777777" w:rsidR="00616C5B" w:rsidRPr="002B1FED" w:rsidRDefault="00616C5B" w:rsidP="00616C5B">
      <w:r>
        <w:t>Dotazník byl v této části zaměřen na náklady týkající se krmiva, běžné pravidelné veterinární péče (např. očkování nebo odčervení), kontroly psa na pastvině a poplatku za pasteveckého psa obci.</w:t>
      </w:r>
      <w:r w:rsidRPr="00A909C5">
        <w:t xml:space="preserve"> </w:t>
      </w:r>
      <w:r>
        <w:t>V dotazníku nebyly zjišťovány rozdíly mezi náklady na dospělého psa a na štěně a není tedy znám ani poměr mezi oběma kategoriemi, přičemž ani jedna z kategorií nebyla při sběru dat vyloučena. Je tedy možné, že informace za obě kategorie jsou v rámci získaných odhadů nákladů obsaženy.</w:t>
      </w:r>
    </w:p>
    <w:p w14:paraId="5AEE100F" w14:textId="77777777" w:rsidR="00616C5B" w:rsidRDefault="00616C5B" w:rsidP="00616C5B">
      <w:r>
        <w:t xml:space="preserve">Celkem </w:t>
      </w:r>
      <w:r w:rsidRPr="00595B4D">
        <w:t>1</w:t>
      </w:r>
      <w:r>
        <w:t>7</w:t>
      </w:r>
      <w:r w:rsidRPr="00595B4D">
        <w:t> respondentů, tj. </w:t>
      </w:r>
      <w:r>
        <w:t>28</w:t>
      </w:r>
      <w:r w:rsidRPr="00595B4D">
        <w:t>,</w:t>
      </w:r>
      <w:r>
        <w:t>8</w:t>
      </w:r>
      <w:r w:rsidRPr="00595B4D">
        <w:t> % z</w:t>
      </w:r>
      <w:r>
        <w:t> </w:t>
      </w:r>
      <w:r w:rsidRPr="00595B4D">
        <w:t xml:space="preserve">celkového počtu </w:t>
      </w:r>
      <w:r>
        <w:t xml:space="preserve">59 obdržených dotazníků uvedlo, že na svých pastvinách využívá alespoň jednoho pasteveckého psa, přičemž jejich počet na jednoho respondenta se pohyboval od 1 do 23 psů. Z toho jedenáct respondentů (64,7 %) vlastní do tří pasteveckých psů. Pro výpočet nákladů na „provoz“ pasteveckého psa byly uvažovány pouze pravidelně se opakující roční náklady, které chovatelům vznikají na jednoho psa. Jelikož výchova psa a jeho socializace neprobíhá každoročně a ve stejném rozsahu, nebyly tyto položky v dotazníku zjišťovány. Všech </w:t>
      </w:r>
      <w:r w:rsidRPr="00A516D4">
        <w:t>1</w:t>
      </w:r>
      <w:r>
        <w:t>7 respondentů vyplnilo také některé finanční či časové údaje a žádný z nich tedy nebyl z výpočtu nákladů vyřazen.</w:t>
      </w:r>
    </w:p>
    <w:p w14:paraId="79EB00AA" w14:textId="2BF657C3" w:rsidR="00616C5B" w:rsidRDefault="00616C5B" w:rsidP="00616C5B">
      <w:r>
        <w:t xml:space="preserve">Ze subjektů, kteří provozují pastvu s oplocením (včetně těch, co typy pastvy kombinují), je celkem 28,8 % (17) těch, co při pastvě využívají také pastevecké psy. V případě volné pastvy (zároveň se však jedná o respondenty, kteří typy pastvy kombinují a z dotazníku není patrné, na kterých částech psy využívají), vlastní alespoň jednoho pasteveckého psa celkem 7 respondentů, tedy pouze dva subjekty s volnou pastvou neuvedly, že by pasteveckého psa využívaly. Jelikož však všichni respondenti v dotazníkovém šetření na svých pozemcích využívají nějaký druh oplocení, je patrné, že celých 100 % z těch, co uvedli náklady na pastevecké psy, mají současně </w:t>
      </w:r>
      <w:r w:rsidR="00F648D0">
        <w:t>alespoň částečně s využitím elektřiny</w:t>
      </w:r>
      <w:r>
        <w:t> oplocené pastviny. Ze získaných údajů tedy nelze vyhodnotit, zda pastevecké psy využívají častěji respondenti s určitým typem pastvy, neboť pouze volnou pastvu neprovozuje žádný z účastníků šetření.</w:t>
      </w:r>
    </w:p>
    <w:p w14:paraId="47856534" w14:textId="77777777" w:rsidR="00616C5B" w:rsidRDefault="00616C5B" w:rsidP="00616C5B">
      <w:r>
        <w:t>Výpočet nákladů na pasteveckého psa byl proveden v jednotkách Kč za rok na ha pastvin, v jednotkách Kč na velkou dobytčí jednotku i v jednotkách Kč za rok na jednoho psa. Z pohledu přesnosti výpočtu se jeví jako vhodnější varianta přepočet nákladů v jednotkách Kč za rok na jednoho psa, s ohledem na značnou variabilitu počtu psů ve vazbě na velikost hlídaných stád a pastvin. Ale vzhledem k povaze kompenzace zvýšených nákladů chovatelů na organizaci pastvy na velkou dobytčí jednotku je žádoucí provést výpočet nákladů právě v jednotkách Kč za rok jak na VDJ, tak na ha pastvin. Varianta výpočtu nákladů na jednotky Kč za rok na VDJ, případně na ha pastvin, je však ovlivněna současným stavem počtu psů využívaných k práci na pastvinách u jednotlivých respondentů. Zkušenosti s chovem pasteveckých psů pro účel ochrany pasených zvířat nejsou v ČR po návratu vlků zatím dostatečné a chovatelé stále hledají optimální počet psů k počtu pasených zvířat, popřípadě k velikosti pastvin, jak někteří v dotazníku i zmiňovali.</w:t>
      </w:r>
    </w:p>
    <w:p w14:paraId="63886803" w14:textId="77777777" w:rsidR="00616C5B" w:rsidRDefault="00616C5B" w:rsidP="00616C5B">
      <w:r>
        <w:lastRenderedPageBreak/>
        <w:t xml:space="preserve">Z šetření průměrně vychází, že jeden pastevecký pes je využíván na ochranu 71 pasených hospodářských zvířat, přičemž maximální počet zvířat hlídaných jedním psem je 459 a naopak minimální počet zvířat hlídaných jedním psem je 7 ks. V přepočtu na velké dobytčí jednotky připadá jeden pastevecký pes průměrně na 14,5 VDJ. V těchto počtech však nejsou započítána jehňata a kůzlata, neboť jejich počty nebyly v šetření zjišťovány. Počet zvířat na jednoho psa je tedy z tohoto důvodu velmi zkreslen. Jak bylo v dotazníku zmíněno, doporučovaným optimálním počtem </w:t>
      </w:r>
      <w:r w:rsidRPr="00522C32">
        <w:t>j</w:t>
      </w:r>
      <w:r>
        <w:t>sou</w:t>
      </w:r>
      <w:r w:rsidRPr="00522C32">
        <w:t xml:space="preserve"> 2</w:t>
      </w:r>
      <w:r>
        <w:t> pastevečtí psi</w:t>
      </w:r>
      <w:r w:rsidRPr="00522C32">
        <w:t xml:space="preserve"> na</w:t>
      </w:r>
      <w:r>
        <w:t> </w:t>
      </w:r>
      <w:r w:rsidRPr="00522C32">
        <w:t>prvních 100</w:t>
      </w:r>
      <w:r>
        <w:t> </w:t>
      </w:r>
      <w:r w:rsidRPr="00522C32">
        <w:t>ks ovcí a</w:t>
      </w:r>
      <w:r>
        <w:t> </w:t>
      </w:r>
      <w:r w:rsidRPr="00522C32">
        <w:t>na každých dalších 100</w:t>
      </w:r>
      <w:r>
        <w:t> </w:t>
      </w:r>
      <w:r w:rsidRPr="00522C32">
        <w:t>ks vždy 1</w:t>
      </w:r>
      <w:r>
        <w:t> </w:t>
      </w:r>
      <w:r w:rsidRPr="00522C32">
        <w:t>další pes</w:t>
      </w:r>
      <w:r>
        <w:t>, plus navíc tzv. </w:t>
      </w:r>
      <w:r w:rsidRPr="00522C32">
        <w:t>rezervní psi v</w:t>
      </w:r>
      <w:r>
        <w:t> </w:t>
      </w:r>
      <w:r w:rsidRPr="00522C32">
        <w:t>případě nutnosti okamžité výměny.</w:t>
      </w:r>
    </w:p>
    <w:p w14:paraId="030B190E" w14:textId="6E8FBC43" w:rsidR="00616C5B" w:rsidRDefault="00616C5B" w:rsidP="00616C5B">
      <w:r>
        <w:t xml:space="preserve">Ve vztahu k výměře pastvin, na které respondenti provádí opatření, je využíván jeden pes v průměru na 13,9 ha pastvin, nejvíce na 50 ha a nejméně na 1,3 hektarech pastvin. Podle vysokého variačního rozpětí lze usuzovat, že </w:t>
      </w:r>
      <w:r w:rsidR="00C356BA">
        <w:t>situace u </w:t>
      </w:r>
      <w:r>
        <w:t>chovatel</w:t>
      </w:r>
      <w:r w:rsidR="00C356BA">
        <w:t>ů</w:t>
      </w:r>
      <w:r>
        <w:t xml:space="preserve"> </w:t>
      </w:r>
      <w:r w:rsidR="00C356BA">
        <w:t>se velmi liší</w:t>
      </w:r>
      <w:r>
        <w:t>.</w:t>
      </w:r>
    </w:p>
    <w:p w14:paraId="5BCCD905" w14:textId="77777777" w:rsidR="00616C5B" w:rsidRDefault="00616C5B" w:rsidP="00616C5B">
      <w:r>
        <w:t>Na následujícím grafu je znázorněn vztah výměry a počtu velkých dobytčích jednotek s počtem pasteveckých psů. Je vidět lehký trend, že s rostoucí výměrou (a zároveň rostoucím počtem VDJ) u respondentů mírně stoupá také počet pasteveckých psů. Určitá souvislost tedy je patrná. Někteří respondenti však tomuto vývoji úplně neodpovídají, což však může být způsobeno vcelku krátkou dobou, po kterou se v České republice využívání pasteveckých psů zavádí. Někteří dotazovaní uvedli, že psa pořídili teprve nedávno a zkušenosti tak zatím nabírají.</w:t>
      </w:r>
    </w:p>
    <w:p w14:paraId="5CAE71BA" w14:textId="77777777" w:rsidR="00616C5B" w:rsidRDefault="00616C5B" w:rsidP="00616C5B">
      <w:pPr>
        <w:spacing w:before="120"/>
        <w:ind w:firstLine="0"/>
      </w:pPr>
      <w:r>
        <w:rPr>
          <w:noProof/>
        </w:rPr>
        <w:drawing>
          <wp:inline distT="0" distB="0" distL="0" distR="0" wp14:anchorId="484E5D84" wp14:editId="01667237">
            <wp:extent cx="5760000" cy="2752725"/>
            <wp:effectExtent l="0" t="0" r="0" b="0"/>
            <wp:docPr id="159482846" name="Graf 1">
              <a:extLst xmlns:a="http://schemas.openxmlformats.org/drawingml/2006/main">
                <a:ext uri="{FF2B5EF4-FFF2-40B4-BE49-F238E27FC236}">
                  <a16:creationId xmlns:a16="http://schemas.microsoft.com/office/drawing/2014/main" id="{65B75827-D136-B727-5225-AB751EA2B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4DE668" w14:textId="5705E72B" w:rsidR="00616C5B" w:rsidRDefault="00616C5B" w:rsidP="00616C5B">
      <w:pPr>
        <w:pStyle w:val="Titulek"/>
        <w:spacing w:before="120"/>
        <w:jc w:val="both"/>
      </w:pPr>
      <w:bookmarkStart w:id="68" w:name="_Toc138062258"/>
      <w:r>
        <w:t>Obr. </w:t>
      </w:r>
      <w:r w:rsidR="00F41AB0">
        <w:fldChar w:fldCharType="begin"/>
      </w:r>
      <w:r w:rsidR="00F41AB0">
        <w:instrText xml:space="preserve"> SEQ Obr. \* ARABIC </w:instrText>
      </w:r>
      <w:r w:rsidR="00F41AB0">
        <w:fldChar w:fldCharType="separate"/>
      </w:r>
      <w:r w:rsidR="00486DB8">
        <w:rPr>
          <w:noProof/>
        </w:rPr>
        <w:t>5</w:t>
      </w:r>
      <w:r w:rsidR="00F41AB0">
        <w:rPr>
          <w:noProof/>
        </w:rPr>
        <w:fldChar w:fldCharType="end"/>
      </w:r>
      <w:r w:rsidRPr="004A5E34">
        <w:t xml:space="preserve"> </w:t>
      </w:r>
      <w:r>
        <w:t>Vztah výměry a počtu chovaných zvířat s počtem pasteveckých psů u jednotlivých respondentů</w:t>
      </w:r>
      <w:bookmarkEnd w:id="68"/>
    </w:p>
    <w:p w14:paraId="668CE498" w14:textId="77777777" w:rsidR="00616C5B" w:rsidRDefault="00616C5B" w:rsidP="00616C5B">
      <w:pPr>
        <w:ind w:firstLine="0"/>
      </w:pPr>
    </w:p>
    <w:p w14:paraId="2A353701" w14:textId="77777777" w:rsidR="00616C5B" w:rsidRPr="006403A6" w:rsidRDefault="00616C5B" w:rsidP="00616C5B">
      <w:pPr>
        <w:rPr>
          <w:b/>
          <w:caps/>
          <w:u w:val="single"/>
        </w:rPr>
      </w:pPr>
      <w:bookmarkStart w:id="69" w:name="_Toc59005073"/>
      <w:r w:rsidRPr="006403A6">
        <w:rPr>
          <w:b/>
          <w:caps/>
          <w:u w:val="single"/>
        </w:rPr>
        <w:t>Souhrn všech provozních nákladů na pasteveckého psa</w:t>
      </w:r>
      <w:bookmarkEnd w:id="69"/>
    </w:p>
    <w:p w14:paraId="568BD882" w14:textId="24918D03" w:rsidR="00616C5B" w:rsidRDefault="00616C5B" w:rsidP="00616C5B">
      <w:r>
        <w:t>Níže v </w:t>
      </w:r>
      <w:r>
        <w:fldChar w:fldCharType="begin"/>
      </w:r>
      <w:r>
        <w:instrText xml:space="preserve"> REF _Ref135378310 \h </w:instrText>
      </w:r>
      <w:r>
        <w:fldChar w:fldCharType="separate"/>
      </w:r>
      <w:r w:rsidR="00486DB8">
        <w:t>Tab. </w:t>
      </w:r>
      <w:r w:rsidR="00486DB8">
        <w:rPr>
          <w:noProof/>
        </w:rPr>
        <w:t>6</w:t>
      </w:r>
      <w:r>
        <w:fldChar w:fldCharType="end"/>
      </w:r>
      <w:r>
        <w:t xml:space="preserve"> je uveden souhrn jednotlivých provozních nákladů, které respondentům vznikají v souvislosti s pasteveckým psem. Jedná se pouze o náklady, které chovatelům vznikají pravidelně a dají se proto uplatnit v rámci tohoto finančního nástroje. Tyto náklady lze chápat jako „předpokládané náklady na socializovaného psa“. Nejsou tedy zahrnuty náklady na výchovu a</w:t>
      </w:r>
      <w:r w:rsidR="00707C7C">
        <w:t> </w:t>
      </w:r>
      <w:r>
        <w:t>socializaci psa ani čas chovatele strávený touto činností, stejně tak nejsou zahrnuty ani další náklady, které respondenti ve svých odpovědích uváděli.</w:t>
      </w:r>
    </w:p>
    <w:p w14:paraId="4DFDE771" w14:textId="77777777" w:rsidR="00616C5B" w:rsidRDefault="00616C5B" w:rsidP="00616C5B">
      <w:r>
        <w:t>V případě, kdy jsou odstraněny odlehlé hodnoty, vychází suma nákladů na jednoho psa na 87 025 Kč/rok. Souhrn nákladů na pasteveckého psa ve vztahu k výměře vychází na 11 599 Kč/ha pastvin na jeden rok. Po přepočtu na velkou dobytčí jednotku je suma nákladů 16 280 Kč/VDJ na rok.</w:t>
      </w:r>
    </w:p>
    <w:p w14:paraId="20A4A954" w14:textId="2B83DE34" w:rsidR="00616C5B" w:rsidRDefault="00616C5B" w:rsidP="00616C5B">
      <w:pPr>
        <w:pStyle w:val="Titulek"/>
      </w:pPr>
      <w:bookmarkStart w:id="70" w:name="_Ref135378310"/>
      <w:bookmarkStart w:id="71" w:name="_Toc138062298"/>
      <w:r>
        <w:lastRenderedPageBreak/>
        <w:t>Tab. </w:t>
      </w:r>
      <w:r w:rsidR="00F41AB0">
        <w:fldChar w:fldCharType="begin"/>
      </w:r>
      <w:r w:rsidR="00F41AB0">
        <w:instrText xml:space="preserve"> SEQ Tab. \* ARABIC </w:instrText>
      </w:r>
      <w:r w:rsidR="00F41AB0">
        <w:fldChar w:fldCharType="separate"/>
      </w:r>
      <w:r w:rsidR="00486DB8">
        <w:rPr>
          <w:noProof/>
        </w:rPr>
        <w:t>6</w:t>
      </w:r>
      <w:r w:rsidR="00F41AB0">
        <w:rPr>
          <w:noProof/>
        </w:rPr>
        <w:fldChar w:fldCharType="end"/>
      </w:r>
      <w:bookmarkEnd w:id="70"/>
      <w:r>
        <w:t xml:space="preserve"> Souhrn provozních nákladů na pasteveckého psa</w:t>
      </w:r>
      <w:bookmarkEnd w:id="71"/>
    </w:p>
    <w:tbl>
      <w:tblPr>
        <w:tblStyle w:val="Mkatabulky"/>
        <w:tblW w:w="9072" w:type="dxa"/>
        <w:tblLayout w:type="fixed"/>
        <w:tblLook w:val="04A0" w:firstRow="1" w:lastRow="0" w:firstColumn="1" w:lastColumn="0" w:noHBand="0" w:noVBand="1"/>
      </w:tblPr>
      <w:tblGrid>
        <w:gridCol w:w="3562"/>
        <w:gridCol w:w="1835"/>
        <w:gridCol w:w="1837"/>
        <w:gridCol w:w="1838"/>
      </w:tblGrid>
      <w:tr w:rsidR="00D35C5D" w:rsidRPr="00D35C5D" w14:paraId="331548E3" w14:textId="77777777" w:rsidTr="00437E9D">
        <w:trPr>
          <w:trHeight w:val="373"/>
        </w:trPr>
        <w:tc>
          <w:tcPr>
            <w:tcW w:w="3551" w:type="dxa"/>
            <w:vMerge w:val="restart"/>
            <w:shd w:val="clear" w:color="auto" w:fill="BDD6EE"/>
            <w:vAlign w:val="center"/>
          </w:tcPr>
          <w:p w14:paraId="6800B5BC" w14:textId="77777777" w:rsidR="00437E9D" w:rsidRPr="003A36B4" w:rsidRDefault="00437E9D" w:rsidP="0003481B">
            <w:pPr>
              <w:keepNext/>
              <w:spacing w:before="0" w:line="240" w:lineRule="atLeast"/>
              <w:ind w:firstLine="0"/>
              <w:jc w:val="left"/>
              <w:rPr>
                <w:b/>
                <w:bCs/>
                <w:sz w:val="18"/>
                <w:szCs w:val="18"/>
              </w:rPr>
            </w:pPr>
            <w:r>
              <w:rPr>
                <w:b/>
                <w:sz w:val="18"/>
                <w:szCs w:val="18"/>
              </w:rPr>
              <w:t xml:space="preserve">PROVOZNÍ NÁKLADY NA PASTEVECKÉHO PSA </w:t>
            </w:r>
            <w:r w:rsidRPr="00543387">
              <w:rPr>
                <w:b/>
                <w:bCs/>
                <w:sz w:val="18"/>
                <w:szCs w:val="18"/>
              </w:rPr>
              <w:t>[Kč/rok]</w:t>
            </w:r>
          </w:p>
        </w:tc>
        <w:tc>
          <w:tcPr>
            <w:tcW w:w="5492" w:type="dxa"/>
            <w:gridSpan w:val="3"/>
            <w:shd w:val="clear" w:color="auto" w:fill="BDD6EE"/>
            <w:vAlign w:val="center"/>
          </w:tcPr>
          <w:p w14:paraId="7E48CC4D" w14:textId="77777777" w:rsidR="00437E9D" w:rsidRPr="009641DC" w:rsidRDefault="00437E9D" w:rsidP="0003481B">
            <w:pPr>
              <w:keepNext/>
              <w:spacing w:before="0" w:line="240" w:lineRule="atLeast"/>
              <w:ind w:firstLine="0"/>
              <w:jc w:val="center"/>
              <w:rPr>
                <w:b/>
                <w:sz w:val="18"/>
                <w:szCs w:val="18"/>
              </w:rPr>
            </w:pPr>
            <w:r w:rsidRPr="008E72C6">
              <w:rPr>
                <w:b/>
                <w:sz w:val="18"/>
                <w:szCs w:val="18"/>
              </w:rPr>
              <w:t xml:space="preserve">Průměr </w:t>
            </w:r>
            <w:r>
              <w:rPr>
                <w:b/>
                <w:sz w:val="18"/>
                <w:szCs w:val="18"/>
              </w:rPr>
              <w:t>bez odlehlých</w:t>
            </w:r>
            <w:r w:rsidRPr="008E72C6">
              <w:rPr>
                <w:b/>
                <w:sz w:val="18"/>
                <w:szCs w:val="18"/>
              </w:rPr>
              <w:t xml:space="preserve"> hodnot</w:t>
            </w:r>
          </w:p>
        </w:tc>
      </w:tr>
      <w:tr w:rsidR="00D35C5D" w:rsidRPr="00D35C5D" w14:paraId="2BCB649E" w14:textId="77777777" w:rsidTr="00437E9D">
        <w:trPr>
          <w:trHeight w:val="373"/>
        </w:trPr>
        <w:tc>
          <w:tcPr>
            <w:tcW w:w="3551" w:type="dxa"/>
            <w:vMerge/>
            <w:shd w:val="clear" w:color="auto" w:fill="BDD6EE"/>
            <w:vAlign w:val="center"/>
          </w:tcPr>
          <w:p w14:paraId="5299F525" w14:textId="77777777" w:rsidR="00437E9D" w:rsidRPr="008F64B0" w:rsidRDefault="00437E9D" w:rsidP="0003481B">
            <w:pPr>
              <w:keepNext/>
              <w:spacing w:before="0" w:line="240" w:lineRule="atLeast"/>
              <w:ind w:firstLine="0"/>
              <w:jc w:val="left"/>
              <w:rPr>
                <w:b/>
                <w:sz w:val="18"/>
                <w:szCs w:val="18"/>
              </w:rPr>
            </w:pPr>
          </w:p>
        </w:tc>
        <w:tc>
          <w:tcPr>
            <w:tcW w:w="1829" w:type="dxa"/>
            <w:shd w:val="clear" w:color="auto" w:fill="BDD6EE"/>
            <w:vAlign w:val="center"/>
          </w:tcPr>
          <w:p w14:paraId="775E6D9F" w14:textId="77777777" w:rsidR="00437E9D" w:rsidRDefault="00437E9D" w:rsidP="0003481B">
            <w:pPr>
              <w:keepNext/>
              <w:spacing w:before="0" w:line="240" w:lineRule="atLeast"/>
              <w:ind w:firstLine="0"/>
              <w:jc w:val="center"/>
              <w:rPr>
                <w:b/>
                <w:sz w:val="18"/>
                <w:szCs w:val="18"/>
              </w:rPr>
            </w:pPr>
            <w:r>
              <w:rPr>
                <w:b/>
                <w:sz w:val="18"/>
                <w:szCs w:val="18"/>
              </w:rPr>
              <w:t>NA PSA</w:t>
            </w:r>
          </w:p>
        </w:tc>
        <w:tc>
          <w:tcPr>
            <w:tcW w:w="1831" w:type="dxa"/>
            <w:shd w:val="clear" w:color="auto" w:fill="BDD6EE"/>
            <w:vAlign w:val="center"/>
          </w:tcPr>
          <w:p w14:paraId="7CA05D27" w14:textId="77777777" w:rsidR="00437E9D" w:rsidRPr="008E72C6" w:rsidRDefault="00437E9D" w:rsidP="0003481B">
            <w:pPr>
              <w:keepNext/>
              <w:spacing w:before="0" w:line="240" w:lineRule="atLeast"/>
              <w:ind w:firstLine="0"/>
              <w:jc w:val="center"/>
              <w:rPr>
                <w:b/>
                <w:sz w:val="18"/>
                <w:szCs w:val="18"/>
              </w:rPr>
            </w:pPr>
            <w:r>
              <w:rPr>
                <w:b/>
                <w:sz w:val="18"/>
                <w:szCs w:val="18"/>
              </w:rPr>
              <w:t>NA HA</w:t>
            </w:r>
          </w:p>
        </w:tc>
        <w:tc>
          <w:tcPr>
            <w:tcW w:w="1831" w:type="dxa"/>
            <w:shd w:val="clear" w:color="auto" w:fill="BDD6EE"/>
            <w:vAlign w:val="center"/>
          </w:tcPr>
          <w:p w14:paraId="2F228CB1" w14:textId="77777777" w:rsidR="00437E9D" w:rsidRPr="008E72C6" w:rsidRDefault="00437E9D" w:rsidP="0003481B">
            <w:pPr>
              <w:keepNext/>
              <w:spacing w:before="0" w:line="240" w:lineRule="atLeast"/>
              <w:ind w:firstLine="0"/>
              <w:jc w:val="center"/>
              <w:rPr>
                <w:b/>
                <w:sz w:val="18"/>
                <w:szCs w:val="18"/>
              </w:rPr>
            </w:pPr>
            <w:r>
              <w:rPr>
                <w:b/>
                <w:sz w:val="18"/>
                <w:szCs w:val="18"/>
              </w:rPr>
              <w:t>NA VDJ</w:t>
            </w:r>
          </w:p>
        </w:tc>
      </w:tr>
      <w:tr w:rsidR="00D35C5D" w:rsidRPr="00D35C5D" w14:paraId="6C1E729A" w14:textId="77777777" w:rsidTr="00437E9D">
        <w:trPr>
          <w:trHeight w:val="297"/>
        </w:trPr>
        <w:tc>
          <w:tcPr>
            <w:tcW w:w="3551" w:type="dxa"/>
            <w:vAlign w:val="center"/>
          </w:tcPr>
          <w:p w14:paraId="34DFD325" w14:textId="77777777" w:rsidR="00437E9D" w:rsidRPr="00A76B5A" w:rsidRDefault="00437E9D" w:rsidP="0003481B">
            <w:pPr>
              <w:keepNext/>
              <w:spacing w:before="0" w:line="240" w:lineRule="atLeast"/>
              <w:ind w:firstLine="0"/>
              <w:jc w:val="left"/>
              <w:rPr>
                <w:sz w:val="18"/>
                <w:szCs w:val="18"/>
              </w:rPr>
            </w:pPr>
            <w:r>
              <w:rPr>
                <w:rFonts w:cs="Arial"/>
                <w:color w:val="000000"/>
                <w:sz w:val="18"/>
                <w:szCs w:val="18"/>
              </w:rPr>
              <w:t>Náklady na krmivo</w:t>
            </w:r>
          </w:p>
        </w:tc>
        <w:tc>
          <w:tcPr>
            <w:tcW w:w="1829" w:type="dxa"/>
            <w:vAlign w:val="center"/>
          </w:tcPr>
          <w:p w14:paraId="09B412CE" w14:textId="77777777" w:rsidR="00437E9D" w:rsidRDefault="00437E9D" w:rsidP="0003481B">
            <w:pPr>
              <w:keepNext/>
              <w:spacing w:before="0" w:line="240" w:lineRule="atLeast"/>
              <w:ind w:firstLine="0"/>
              <w:jc w:val="right"/>
              <w:rPr>
                <w:sz w:val="18"/>
                <w:szCs w:val="18"/>
              </w:rPr>
            </w:pPr>
            <w:r>
              <w:rPr>
                <w:sz w:val="18"/>
                <w:szCs w:val="18"/>
              </w:rPr>
              <w:t>23 931</w:t>
            </w:r>
          </w:p>
        </w:tc>
        <w:tc>
          <w:tcPr>
            <w:tcW w:w="1831" w:type="dxa"/>
            <w:vAlign w:val="center"/>
          </w:tcPr>
          <w:p w14:paraId="5C420C93" w14:textId="77777777" w:rsidR="00437E9D" w:rsidRPr="009641DC" w:rsidRDefault="00437E9D" w:rsidP="0003481B">
            <w:pPr>
              <w:keepNext/>
              <w:spacing w:before="0" w:line="240" w:lineRule="atLeast"/>
              <w:ind w:firstLine="0"/>
              <w:jc w:val="right"/>
              <w:rPr>
                <w:sz w:val="18"/>
                <w:szCs w:val="18"/>
              </w:rPr>
            </w:pPr>
            <w:r>
              <w:rPr>
                <w:sz w:val="18"/>
                <w:szCs w:val="18"/>
              </w:rPr>
              <w:t>2 891</w:t>
            </w:r>
          </w:p>
        </w:tc>
        <w:tc>
          <w:tcPr>
            <w:tcW w:w="1831" w:type="dxa"/>
            <w:vAlign w:val="center"/>
          </w:tcPr>
          <w:p w14:paraId="6CE955E4" w14:textId="77777777" w:rsidR="00437E9D" w:rsidRDefault="00437E9D" w:rsidP="0003481B">
            <w:pPr>
              <w:keepNext/>
              <w:spacing w:before="0" w:line="240" w:lineRule="atLeast"/>
              <w:ind w:firstLine="0"/>
              <w:jc w:val="right"/>
              <w:rPr>
                <w:sz w:val="18"/>
                <w:szCs w:val="18"/>
              </w:rPr>
            </w:pPr>
            <w:r>
              <w:rPr>
                <w:sz w:val="18"/>
                <w:szCs w:val="18"/>
              </w:rPr>
              <w:t>4 999</w:t>
            </w:r>
          </w:p>
        </w:tc>
      </w:tr>
      <w:tr w:rsidR="00D35C5D" w:rsidRPr="00D35C5D" w14:paraId="198D4FE9" w14:textId="77777777" w:rsidTr="00437E9D">
        <w:trPr>
          <w:trHeight w:val="297"/>
        </w:trPr>
        <w:tc>
          <w:tcPr>
            <w:tcW w:w="3551" w:type="dxa"/>
            <w:vAlign w:val="center"/>
          </w:tcPr>
          <w:p w14:paraId="671F7BD3" w14:textId="77777777" w:rsidR="00437E9D" w:rsidRPr="008F64B0" w:rsidRDefault="00437E9D" w:rsidP="0003481B">
            <w:pPr>
              <w:keepNext/>
              <w:spacing w:before="0" w:line="240" w:lineRule="atLeast"/>
              <w:ind w:firstLine="0"/>
              <w:jc w:val="left"/>
              <w:rPr>
                <w:rFonts w:cs="Arial"/>
                <w:color w:val="000000"/>
                <w:sz w:val="18"/>
                <w:szCs w:val="18"/>
              </w:rPr>
            </w:pPr>
            <w:r>
              <w:rPr>
                <w:rFonts w:cs="Arial"/>
                <w:color w:val="000000"/>
                <w:sz w:val="18"/>
                <w:szCs w:val="18"/>
              </w:rPr>
              <w:t>Náklady na běžnou veterinární péči</w:t>
            </w:r>
          </w:p>
        </w:tc>
        <w:tc>
          <w:tcPr>
            <w:tcW w:w="1829" w:type="dxa"/>
            <w:vAlign w:val="center"/>
          </w:tcPr>
          <w:p w14:paraId="3DDE2D7C" w14:textId="77777777" w:rsidR="00437E9D" w:rsidRDefault="00437E9D" w:rsidP="0003481B">
            <w:pPr>
              <w:keepNext/>
              <w:spacing w:before="0" w:line="240" w:lineRule="atLeast"/>
              <w:ind w:firstLine="0"/>
              <w:jc w:val="right"/>
              <w:rPr>
                <w:sz w:val="18"/>
                <w:szCs w:val="18"/>
              </w:rPr>
            </w:pPr>
            <w:r>
              <w:rPr>
                <w:sz w:val="18"/>
                <w:szCs w:val="18"/>
              </w:rPr>
              <w:t>3 169</w:t>
            </w:r>
          </w:p>
        </w:tc>
        <w:tc>
          <w:tcPr>
            <w:tcW w:w="1831" w:type="dxa"/>
            <w:vAlign w:val="center"/>
          </w:tcPr>
          <w:p w14:paraId="0F83D41A" w14:textId="77777777" w:rsidR="00437E9D" w:rsidRPr="009641DC" w:rsidRDefault="00437E9D" w:rsidP="0003481B">
            <w:pPr>
              <w:keepNext/>
              <w:spacing w:before="0" w:line="240" w:lineRule="atLeast"/>
              <w:ind w:firstLine="0"/>
              <w:jc w:val="right"/>
              <w:rPr>
                <w:sz w:val="18"/>
                <w:szCs w:val="18"/>
              </w:rPr>
            </w:pPr>
            <w:r>
              <w:rPr>
                <w:sz w:val="18"/>
                <w:szCs w:val="18"/>
              </w:rPr>
              <w:t>379</w:t>
            </w:r>
          </w:p>
        </w:tc>
        <w:tc>
          <w:tcPr>
            <w:tcW w:w="1831" w:type="dxa"/>
            <w:vAlign w:val="center"/>
          </w:tcPr>
          <w:p w14:paraId="4F6CAC0E" w14:textId="77777777" w:rsidR="00437E9D" w:rsidRDefault="00437E9D" w:rsidP="0003481B">
            <w:pPr>
              <w:keepNext/>
              <w:spacing w:before="0" w:line="240" w:lineRule="atLeast"/>
              <w:ind w:firstLine="0"/>
              <w:jc w:val="right"/>
              <w:rPr>
                <w:sz w:val="18"/>
                <w:szCs w:val="18"/>
              </w:rPr>
            </w:pPr>
            <w:r>
              <w:rPr>
                <w:sz w:val="18"/>
                <w:szCs w:val="18"/>
              </w:rPr>
              <w:t>574</w:t>
            </w:r>
          </w:p>
        </w:tc>
      </w:tr>
      <w:tr w:rsidR="00D35C5D" w:rsidRPr="00D35C5D" w14:paraId="7822B555" w14:textId="77777777" w:rsidTr="00437E9D">
        <w:trPr>
          <w:trHeight w:val="297"/>
        </w:trPr>
        <w:tc>
          <w:tcPr>
            <w:tcW w:w="3551" w:type="dxa"/>
            <w:vAlign w:val="center"/>
          </w:tcPr>
          <w:p w14:paraId="5D3F5697" w14:textId="77777777" w:rsidR="00437E9D" w:rsidRPr="008E72C6" w:rsidRDefault="00437E9D" w:rsidP="0003481B">
            <w:pPr>
              <w:keepNext/>
              <w:spacing w:before="0" w:line="240" w:lineRule="atLeast"/>
              <w:ind w:firstLine="0"/>
              <w:jc w:val="left"/>
              <w:rPr>
                <w:rFonts w:cs="Arial"/>
                <w:color w:val="000000"/>
                <w:sz w:val="18"/>
                <w:szCs w:val="18"/>
              </w:rPr>
            </w:pPr>
            <w:r>
              <w:rPr>
                <w:rFonts w:cs="Arial"/>
                <w:color w:val="000000"/>
                <w:sz w:val="18"/>
                <w:szCs w:val="18"/>
              </w:rPr>
              <w:t>Poplatek ze psů</w:t>
            </w:r>
          </w:p>
        </w:tc>
        <w:tc>
          <w:tcPr>
            <w:tcW w:w="1829" w:type="dxa"/>
            <w:vAlign w:val="center"/>
          </w:tcPr>
          <w:p w14:paraId="61E9BA7E" w14:textId="77777777" w:rsidR="00437E9D" w:rsidRDefault="00437E9D" w:rsidP="0003481B">
            <w:pPr>
              <w:keepNext/>
              <w:spacing w:before="0" w:line="240" w:lineRule="atLeast"/>
              <w:ind w:firstLine="0"/>
              <w:jc w:val="right"/>
              <w:rPr>
                <w:sz w:val="18"/>
                <w:szCs w:val="18"/>
              </w:rPr>
            </w:pPr>
            <w:r>
              <w:rPr>
                <w:sz w:val="18"/>
                <w:szCs w:val="18"/>
              </w:rPr>
              <w:t>230</w:t>
            </w:r>
          </w:p>
        </w:tc>
        <w:tc>
          <w:tcPr>
            <w:tcW w:w="1831" w:type="dxa"/>
            <w:vAlign w:val="center"/>
          </w:tcPr>
          <w:p w14:paraId="5EA4533B" w14:textId="77777777" w:rsidR="00437E9D" w:rsidRPr="009641DC" w:rsidRDefault="00437E9D" w:rsidP="0003481B">
            <w:pPr>
              <w:keepNext/>
              <w:spacing w:before="0" w:line="240" w:lineRule="atLeast"/>
              <w:ind w:firstLine="0"/>
              <w:jc w:val="right"/>
              <w:rPr>
                <w:sz w:val="18"/>
                <w:szCs w:val="18"/>
              </w:rPr>
            </w:pPr>
            <w:r>
              <w:rPr>
                <w:sz w:val="18"/>
                <w:szCs w:val="18"/>
              </w:rPr>
              <w:t>29</w:t>
            </w:r>
          </w:p>
        </w:tc>
        <w:tc>
          <w:tcPr>
            <w:tcW w:w="1831" w:type="dxa"/>
            <w:vAlign w:val="center"/>
          </w:tcPr>
          <w:p w14:paraId="6119E802" w14:textId="77777777" w:rsidR="00437E9D" w:rsidRDefault="00437E9D" w:rsidP="0003481B">
            <w:pPr>
              <w:keepNext/>
              <w:spacing w:before="0" w:line="240" w:lineRule="atLeast"/>
              <w:ind w:firstLine="0"/>
              <w:jc w:val="right"/>
              <w:rPr>
                <w:sz w:val="18"/>
                <w:szCs w:val="18"/>
              </w:rPr>
            </w:pPr>
            <w:r>
              <w:rPr>
                <w:sz w:val="18"/>
                <w:szCs w:val="18"/>
              </w:rPr>
              <w:t>40</w:t>
            </w:r>
          </w:p>
        </w:tc>
      </w:tr>
      <w:tr w:rsidR="00D35C5D" w:rsidRPr="00D35C5D" w14:paraId="059E8314" w14:textId="77777777" w:rsidTr="00437E9D">
        <w:trPr>
          <w:trHeight w:val="297"/>
        </w:trPr>
        <w:tc>
          <w:tcPr>
            <w:tcW w:w="3551" w:type="dxa"/>
            <w:vAlign w:val="center"/>
          </w:tcPr>
          <w:p w14:paraId="66937829" w14:textId="77777777" w:rsidR="00437E9D" w:rsidRPr="009641DC" w:rsidRDefault="00437E9D" w:rsidP="0003481B">
            <w:pPr>
              <w:keepNext/>
              <w:spacing w:before="0" w:line="240" w:lineRule="atLeast"/>
              <w:ind w:firstLine="0"/>
              <w:jc w:val="left"/>
              <w:rPr>
                <w:sz w:val="18"/>
                <w:szCs w:val="18"/>
              </w:rPr>
            </w:pPr>
            <w:r>
              <w:rPr>
                <w:sz w:val="18"/>
                <w:szCs w:val="18"/>
              </w:rPr>
              <w:t>Kontrola psa na pastvině</w:t>
            </w:r>
          </w:p>
        </w:tc>
        <w:tc>
          <w:tcPr>
            <w:tcW w:w="1829" w:type="dxa"/>
            <w:vAlign w:val="center"/>
          </w:tcPr>
          <w:p w14:paraId="4275A785" w14:textId="77777777" w:rsidR="00437E9D" w:rsidRDefault="00437E9D" w:rsidP="0003481B">
            <w:pPr>
              <w:keepNext/>
              <w:spacing w:before="0" w:line="240" w:lineRule="atLeast"/>
              <w:ind w:firstLine="0"/>
              <w:jc w:val="right"/>
              <w:rPr>
                <w:sz w:val="18"/>
                <w:szCs w:val="18"/>
              </w:rPr>
            </w:pPr>
            <w:r>
              <w:rPr>
                <w:sz w:val="18"/>
                <w:szCs w:val="18"/>
              </w:rPr>
              <w:t>59 695</w:t>
            </w:r>
          </w:p>
        </w:tc>
        <w:tc>
          <w:tcPr>
            <w:tcW w:w="1831" w:type="dxa"/>
            <w:vAlign w:val="center"/>
          </w:tcPr>
          <w:p w14:paraId="36A85F00" w14:textId="77777777" w:rsidR="00437E9D" w:rsidRPr="002846F2" w:rsidRDefault="00437E9D" w:rsidP="0003481B">
            <w:pPr>
              <w:keepNext/>
              <w:spacing w:before="0" w:line="240" w:lineRule="atLeast"/>
              <w:ind w:firstLine="0"/>
              <w:jc w:val="right"/>
              <w:rPr>
                <w:sz w:val="18"/>
                <w:szCs w:val="18"/>
              </w:rPr>
            </w:pPr>
            <w:r>
              <w:rPr>
                <w:sz w:val="18"/>
                <w:szCs w:val="18"/>
              </w:rPr>
              <w:t>8 301</w:t>
            </w:r>
          </w:p>
        </w:tc>
        <w:tc>
          <w:tcPr>
            <w:tcW w:w="1831" w:type="dxa"/>
            <w:vAlign w:val="center"/>
          </w:tcPr>
          <w:p w14:paraId="745159FD" w14:textId="77777777" w:rsidR="00437E9D" w:rsidRPr="005C74C4" w:rsidRDefault="00437E9D" w:rsidP="0003481B">
            <w:pPr>
              <w:keepNext/>
              <w:spacing w:before="0" w:line="240" w:lineRule="atLeast"/>
              <w:ind w:firstLine="0"/>
              <w:jc w:val="right"/>
              <w:rPr>
                <w:sz w:val="18"/>
                <w:szCs w:val="18"/>
              </w:rPr>
            </w:pPr>
            <w:r>
              <w:rPr>
                <w:sz w:val="18"/>
                <w:szCs w:val="18"/>
              </w:rPr>
              <w:t>10 667</w:t>
            </w:r>
          </w:p>
        </w:tc>
      </w:tr>
      <w:tr w:rsidR="00D35C5D" w:rsidRPr="00D35C5D" w14:paraId="44684F8A" w14:textId="77777777" w:rsidTr="00437E9D">
        <w:trPr>
          <w:trHeight w:val="297"/>
        </w:trPr>
        <w:tc>
          <w:tcPr>
            <w:tcW w:w="3551" w:type="dxa"/>
            <w:shd w:val="clear" w:color="auto" w:fill="BDD6EE"/>
            <w:vAlign w:val="center"/>
          </w:tcPr>
          <w:p w14:paraId="2D17477F" w14:textId="77777777" w:rsidR="00437E9D" w:rsidRPr="008F64B0" w:rsidRDefault="00437E9D" w:rsidP="0003481B">
            <w:pPr>
              <w:keepNext/>
              <w:spacing w:before="0" w:line="240" w:lineRule="atLeast"/>
              <w:ind w:firstLine="0"/>
              <w:jc w:val="left"/>
              <w:rPr>
                <w:rFonts w:cs="Arial"/>
                <w:b/>
                <w:color w:val="000000"/>
                <w:sz w:val="18"/>
                <w:szCs w:val="18"/>
              </w:rPr>
            </w:pPr>
            <w:r w:rsidRPr="008F64B0">
              <w:rPr>
                <w:rFonts w:cs="Arial"/>
                <w:b/>
                <w:color w:val="000000"/>
                <w:sz w:val="18"/>
                <w:szCs w:val="18"/>
              </w:rPr>
              <w:t>Suma všech nákladů</w:t>
            </w:r>
          </w:p>
        </w:tc>
        <w:tc>
          <w:tcPr>
            <w:tcW w:w="1829" w:type="dxa"/>
            <w:shd w:val="clear" w:color="auto" w:fill="BDD6EE"/>
            <w:vAlign w:val="center"/>
          </w:tcPr>
          <w:p w14:paraId="711E9393" w14:textId="77777777" w:rsidR="00437E9D" w:rsidRDefault="00437E9D" w:rsidP="0003481B">
            <w:pPr>
              <w:keepNext/>
              <w:spacing w:before="0" w:line="240" w:lineRule="atLeast"/>
              <w:ind w:firstLine="0"/>
              <w:jc w:val="right"/>
              <w:rPr>
                <w:rFonts w:cs="Arial"/>
                <w:b/>
                <w:color w:val="000000"/>
                <w:sz w:val="18"/>
                <w:szCs w:val="18"/>
              </w:rPr>
            </w:pPr>
            <w:r>
              <w:rPr>
                <w:rFonts w:cs="Arial"/>
                <w:b/>
                <w:color w:val="000000"/>
                <w:sz w:val="18"/>
                <w:szCs w:val="18"/>
              </w:rPr>
              <w:t>87 025</w:t>
            </w:r>
          </w:p>
        </w:tc>
        <w:tc>
          <w:tcPr>
            <w:tcW w:w="1831" w:type="dxa"/>
            <w:shd w:val="clear" w:color="auto" w:fill="BDD6EE"/>
            <w:vAlign w:val="center"/>
          </w:tcPr>
          <w:p w14:paraId="3D105056" w14:textId="77777777" w:rsidR="00437E9D" w:rsidRPr="00A76B5A" w:rsidRDefault="00437E9D" w:rsidP="0003481B">
            <w:pPr>
              <w:keepNext/>
              <w:spacing w:before="0" w:line="240" w:lineRule="atLeast"/>
              <w:ind w:firstLine="0"/>
              <w:jc w:val="right"/>
              <w:rPr>
                <w:rFonts w:cs="Arial"/>
                <w:b/>
                <w:color w:val="000000"/>
                <w:sz w:val="18"/>
                <w:szCs w:val="18"/>
              </w:rPr>
            </w:pPr>
            <w:r>
              <w:rPr>
                <w:rFonts w:cs="Arial"/>
                <w:b/>
                <w:color w:val="000000"/>
                <w:sz w:val="18"/>
                <w:szCs w:val="18"/>
              </w:rPr>
              <w:t>11 599</w:t>
            </w:r>
          </w:p>
        </w:tc>
        <w:tc>
          <w:tcPr>
            <w:tcW w:w="1831" w:type="dxa"/>
            <w:shd w:val="clear" w:color="auto" w:fill="BDD6EE"/>
            <w:vAlign w:val="center"/>
          </w:tcPr>
          <w:p w14:paraId="35E6B64E" w14:textId="77777777" w:rsidR="00437E9D" w:rsidRPr="009641DC" w:rsidRDefault="00437E9D" w:rsidP="0003481B">
            <w:pPr>
              <w:keepNext/>
              <w:spacing w:before="0" w:line="240" w:lineRule="atLeast"/>
              <w:ind w:firstLine="0"/>
              <w:jc w:val="right"/>
              <w:rPr>
                <w:rFonts w:cs="Arial"/>
                <w:b/>
                <w:color w:val="000000"/>
                <w:sz w:val="18"/>
                <w:szCs w:val="18"/>
              </w:rPr>
            </w:pPr>
            <w:r>
              <w:rPr>
                <w:rFonts w:cs="Arial"/>
                <w:b/>
                <w:color w:val="000000"/>
                <w:sz w:val="18"/>
                <w:szCs w:val="18"/>
              </w:rPr>
              <w:t>16 280</w:t>
            </w:r>
          </w:p>
        </w:tc>
      </w:tr>
    </w:tbl>
    <w:p w14:paraId="70C033C7" w14:textId="77777777" w:rsidR="00616C5B" w:rsidRPr="00A3193B" w:rsidRDefault="00616C5B" w:rsidP="00616C5B">
      <w:pPr>
        <w:pStyle w:val="Zdroje"/>
        <w:spacing w:after="240"/>
      </w:pPr>
      <w:r w:rsidRPr="00A3193B">
        <w:t>Zdroj: Dotazníkové šetření u chovatelů hospodářských zvířat v oblastech s výskytem vlka, ÚZEI 2023</w:t>
      </w:r>
    </w:p>
    <w:p w14:paraId="188F408C" w14:textId="68263D97" w:rsidR="00616C5B" w:rsidRDefault="00616C5B" w:rsidP="00616C5B">
      <w:r>
        <w:t xml:space="preserve">V případě, že se souhrn nákladů vypočítá jako suma všech nákladů plynoucích z „provozu“ pasteveckých psů u každého jednotlivého respondenta, činí průměr těchto celkových nákladů 12 353 Kč/ha pastviny, respektive 17 251 Kč/VDJ (viz </w:t>
      </w:r>
      <w:r>
        <w:fldChar w:fldCharType="begin"/>
      </w:r>
      <w:r>
        <w:instrText xml:space="preserve"> REF _Ref135379494 \h </w:instrText>
      </w:r>
      <w:r>
        <w:fldChar w:fldCharType="separate"/>
      </w:r>
      <w:r w:rsidR="00486DB8">
        <w:t>Tab. </w:t>
      </w:r>
      <w:r w:rsidR="00486DB8">
        <w:rPr>
          <w:noProof/>
        </w:rPr>
        <w:t>7</w:t>
      </w:r>
      <w:r>
        <w:fldChar w:fldCharType="end"/>
      </w:r>
      <w:r>
        <w:t>). U každého respondenta je vytvořena suma nákladů z položek, které v dotazníku vyplnil a lze tedy usuzovat, že tyto náklady realizuje. Všechny položky jsou opět přepočteny na hektar pastviny každého respondenta (vynásobením uvedeného počtu psů a následně vydělených výměrou pastvin) a poté je vypočítán rozdíl, který subjektům vznikl z důvodu rizika výskytu vlka. Totéž je provedeno pro výpočet na velkou dobytčí jednotku. K výpočtu průměru je bráno v úvahu 17 respondentů, ze kterých je odstraněno 25 % odlehlých hodnot (4 údaje).</w:t>
      </w:r>
    </w:p>
    <w:p w14:paraId="4AABFA06" w14:textId="77777777" w:rsidR="00616C5B" w:rsidRDefault="00616C5B" w:rsidP="00616C5B">
      <w:r>
        <w:t>Výpočet nákladů na jednotky Kč za rok na ha pastvin a na velkou dobytčí jednotku je ovlivněn současným stavem počtu pasteveckých psů využívaných k práci na pastvinách u jednotlivých respondentů.</w:t>
      </w:r>
    </w:p>
    <w:p w14:paraId="257618B1" w14:textId="681A9F19" w:rsidR="00F648D0" w:rsidRDefault="00F648D0" w:rsidP="00616C5B">
      <w:r>
        <w:t xml:space="preserve">I když </w:t>
      </w:r>
      <w:r w:rsidR="000641EB">
        <w:t xml:space="preserve">získané podklady od respondentů vykazují velký rozptyl, lze konstatovat, že při pastvě v libovolném oplocení s přítomností pasteveckého psa nejsou vynaložené náklady nižší v porovnání se zvýšenými náklady spojenými s pastvou s plnohodnotným oplocením. </w:t>
      </w:r>
    </w:p>
    <w:p w14:paraId="42A396BD" w14:textId="6D6331E9" w:rsidR="00616C5B" w:rsidRDefault="00616C5B" w:rsidP="00616C5B">
      <w:pPr>
        <w:pStyle w:val="Titulek"/>
      </w:pPr>
      <w:bookmarkStart w:id="72" w:name="_Ref135379494"/>
      <w:bookmarkStart w:id="73" w:name="_Toc138062299"/>
      <w:r>
        <w:t>Tab. </w:t>
      </w:r>
      <w:r w:rsidR="00F41AB0">
        <w:fldChar w:fldCharType="begin"/>
      </w:r>
      <w:r w:rsidR="00F41AB0">
        <w:instrText xml:space="preserve"> SEQ Tab. \* ARABIC </w:instrText>
      </w:r>
      <w:r w:rsidR="00F41AB0">
        <w:fldChar w:fldCharType="separate"/>
      </w:r>
      <w:r w:rsidR="00486DB8">
        <w:rPr>
          <w:noProof/>
        </w:rPr>
        <w:t>7</w:t>
      </w:r>
      <w:r w:rsidR="00F41AB0">
        <w:rPr>
          <w:noProof/>
        </w:rPr>
        <w:fldChar w:fldCharType="end"/>
      </w:r>
      <w:bookmarkEnd w:id="72"/>
      <w:r>
        <w:t xml:space="preserve"> Souhrn provozních nákladů na pastevecké psy – suma všech nákladů jednotlivých respondentů a následně vytvořen průměr</w:t>
      </w:r>
      <w:bookmarkEnd w:id="73"/>
    </w:p>
    <w:tbl>
      <w:tblPr>
        <w:tblStyle w:val="Mkatabulky"/>
        <w:tblW w:w="9072" w:type="dxa"/>
        <w:tblLook w:val="04A0" w:firstRow="1" w:lastRow="0" w:firstColumn="1" w:lastColumn="0" w:noHBand="0" w:noVBand="1"/>
      </w:tblPr>
      <w:tblGrid>
        <w:gridCol w:w="6262"/>
        <w:gridCol w:w="1404"/>
        <w:gridCol w:w="1406"/>
      </w:tblGrid>
      <w:tr w:rsidR="00437E9D" w:rsidRPr="00371E84" w14:paraId="039646BE" w14:textId="77777777" w:rsidTr="00437E9D">
        <w:trPr>
          <w:trHeight w:val="295"/>
        </w:trPr>
        <w:tc>
          <w:tcPr>
            <w:tcW w:w="6289" w:type="dxa"/>
            <w:vMerge w:val="restart"/>
            <w:shd w:val="clear" w:color="auto" w:fill="BDD6EE"/>
            <w:vAlign w:val="center"/>
          </w:tcPr>
          <w:p w14:paraId="18DAB358" w14:textId="77777777" w:rsidR="00437E9D" w:rsidRDefault="00437E9D" w:rsidP="0003481B">
            <w:pPr>
              <w:keepNext/>
              <w:spacing w:before="0" w:line="240" w:lineRule="atLeast"/>
              <w:ind w:firstLine="0"/>
              <w:jc w:val="left"/>
              <w:rPr>
                <w:b/>
                <w:sz w:val="18"/>
                <w:szCs w:val="18"/>
              </w:rPr>
            </w:pPr>
            <w:r>
              <w:rPr>
                <w:b/>
                <w:sz w:val="18"/>
                <w:szCs w:val="18"/>
              </w:rPr>
              <w:t>PROVOZNÍ NÁKLADY NA PASTEVECKÉ PSY</w:t>
            </w:r>
          </w:p>
          <w:p w14:paraId="191EF2EA" w14:textId="77777777" w:rsidR="00437E9D" w:rsidRPr="003A36B4" w:rsidRDefault="00437E9D" w:rsidP="0003481B">
            <w:pPr>
              <w:keepNext/>
              <w:spacing w:before="0" w:line="240" w:lineRule="atLeast"/>
              <w:ind w:firstLine="0"/>
              <w:jc w:val="left"/>
              <w:rPr>
                <w:b/>
                <w:bCs/>
                <w:sz w:val="18"/>
                <w:szCs w:val="18"/>
              </w:rPr>
            </w:pPr>
            <w:r w:rsidRPr="00543387">
              <w:rPr>
                <w:b/>
                <w:bCs/>
                <w:sz w:val="18"/>
                <w:szCs w:val="18"/>
              </w:rPr>
              <w:t>[Kč/rok]</w:t>
            </w:r>
          </w:p>
        </w:tc>
        <w:tc>
          <w:tcPr>
            <w:tcW w:w="2816" w:type="dxa"/>
            <w:gridSpan w:val="2"/>
            <w:shd w:val="clear" w:color="auto" w:fill="BDD6EE"/>
            <w:vAlign w:val="center"/>
          </w:tcPr>
          <w:p w14:paraId="5359BA79" w14:textId="77777777" w:rsidR="00437E9D" w:rsidRPr="009641DC" w:rsidRDefault="00437E9D" w:rsidP="0003481B">
            <w:pPr>
              <w:keepNext/>
              <w:spacing w:before="0" w:line="240" w:lineRule="atLeast"/>
              <w:ind w:firstLine="0"/>
              <w:jc w:val="center"/>
              <w:rPr>
                <w:b/>
                <w:sz w:val="18"/>
                <w:szCs w:val="18"/>
              </w:rPr>
            </w:pPr>
            <w:r w:rsidRPr="008E72C6">
              <w:rPr>
                <w:b/>
                <w:sz w:val="18"/>
                <w:szCs w:val="18"/>
              </w:rPr>
              <w:t xml:space="preserve">Průměr s odstraněním </w:t>
            </w:r>
            <w:r>
              <w:rPr>
                <w:b/>
                <w:sz w:val="18"/>
                <w:szCs w:val="18"/>
              </w:rPr>
              <w:t>odlehlých</w:t>
            </w:r>
            <w:r w:rsidRPr="008E72C6">
              <w:rPr>
                <w:b/>
                <w:sz w:val="18"/>
                <w:szCs w:val="18"/>
              </w:rPr>
              <w:t xml:space="preserve"> hodnot</w:t>
            </w:r>
          </w:p>
        </w:tc>
      </w:tr>
      <w:tr w:rsidR="00437E9D" w:rsidRPr="00371E84" w14:paraId="6BD5C00F" w14:textId="77777777" w:rsidTr="00437E9D">
        <w:trPr>
          <w:trHeight w:val="295"/>
        </w:trPr>
        <w:tc>
          <w:tcPr>
            <w:tcW w:w="6289" w:type="dxa"/>
            <w:vMerge/>
            <w:shd w:val="clear" w:color="auto" w:fill="BDD6EE"/>
            <w:vAlign w:val="center"/>
          </w:tcPr>
          <w:p w14:paraId="3724A477" w14:textId="77777777" w:rsidR="00437E9D" w:rsidRPr="008F64B0" w:rsidRDefault="00437E9D" w:rsidP="0003481B">
            <w:pPr>
              <w:keepNext/>
              <w:spacing w:before="0" w:line="240" w:lineRule="atLeast"/>
              <w:ind w:firstLine="0"/>
              <w:jc w:val="left"/>
              <w:rPr>
                <w:b/>
                <w:sz w:val="18"/>
                <w:szCs w:val="18"/>
              </w:rPr>
            </w:pPr>
          </w:p>
        </w:tc>
        <w:tc>
          <w:tcPr>
            <w:tcW w:w="1407" w:type="dxa"/>
            <w:shd w:val="clear" w:color="auto" w:fill="BDD6EE"/>
            <w:vAlign w:val="center"/>
          </w:tcPr>
          <w:p w14:paraId="13C640F9" w14:textId="77777777" w:rsidR="00437E9D" w:rsidRPr="008E72C6" w:rsidRDefault="00437E9D" w:rsidP="0003481B">
            <w:pPr>
              <w:keepNext/>
              <w:spacing w:before="0" w:line="240" w:lineRule="atLeast"/>
              <w:ind w:firstLine="0"/>
              <w:jc w:val="center"/>
              <w:rPr>
                <w:b/>
                <w:sz w:val="18"/>
                <w:szCs w:val="18"/>
              </w:rPr>
            </w:pPr>
            <w:r>
              <w:rPr>
                <w:b/>
                <w:sz w:val="18"/>
                <w:szCs w:val="18"/>
              </w:rPr>
              <w:t>NA HA</w:t>
            </w:r>
          </w:p>
        </w:tc>
        <w:tc>
          <w:tcPr>
            <w:tcW w:w="1409" w:type="dxa"/>
            <w:shd w:val="clear" w:color="auto" w:fill="BDD6EE"/>
            <w:vAlign w:val="center"/>
          </w:tcPr>
          <w:p w14:paraId="37B75ED5" w14:textId="77777777" w:rsidR="00437E9D" w:rsidRPr="008E72C6" w:rsidRDefault="00437E9D" w:rsidP="0003481B">
            <w:pPr>
              <w:keepNext/>
              <w:spacing w:before="0" w:line="240" w:lineRule="atLeast"/>
              <w:ind w:firstLine="0"/>
              <w:jc w:val="center"/>
              <w:rPr>
                <w:b/>
                <w:sz w:val="18"/>
                <w:szCs w:val="18"/>
              </w:rPr>
            </w:pPr>
            <w:r>
              <w:rPr>
                <w:b/>
                <w:sz w:val="18"/>
                <w:szCs w:val="18"/>
              </w:rPr>
              <w:t>NA VDJ</w:t>
            </w:r>
          </w:p>
        </w:tc>
      </w:tr>
      <w:tr w:rsidR="00437E9D" w:rsidRPr="0093730B" w14:paraId="57F7EB30" w14:textId="77777777" w:rsidTr="00437E9D">
        <w:trPr>
          <w:trHeight w:val="295"/>
        </w:trPr>
        <w:tc>
          <w:tcPr>
            <w:tcW w:w="6289" w:type="dxa"/>
            <w:vAlign w:val="center"/>
          </w:tcPr>
          <w:p w14:paraId="0235F34B" w14:textId="77777777" w:rsidR="00437E9D" w:rsidRPr="0093730B" w:rsidRDefault="00437E9D" w:rsidP="0003481B">
            <w:pPr>
              <w:keepNext/>
              <w:spacing w:before="0" w:line="240" w:lineRule="atLeast"/>
              <w:ind w:firstLine="0"/>
              <w:jc w:val="left"/>
              <w:rPr>
                <w:rFonts w:cs="Arial"/>
                <w:color w:val="000000"/>
                <w:sz w:val="18"/>
                <w:szCs w:val="18"/>
              </w:rPr>
            </w:pPr>
            <w:r>
              <w:rPr>
                <w:rFonts w:cs="Arial"/>
                <w:color w:val="000000"/>
                <w:sz w:val="18"/>
                <w:szCs w:val="18"/>
              </w:rPr>
              <w:t>Počet údajů zahrnutých do výpočtu</w:t>
            </w:r>
          </w:p>
        </w:tc>
        <w:tc>
          <w:tcPr>
            <w:tcW w:w="2816" w:type="dxa"/>
            <w:gridSpan w:val="2"/>
            <w:vAlign w:val="center"/>
          </w:tcPr>
          <w:p w14:paraId="6AC330D3" w14:textId="77777777" w:rsidR="00437E9D" w:rsidRPr="008F64B0" w:rsidRDefault="00437E9D" w:rsidP="0003481B">
            <w:pPr>
              <w:keepNext/>
              <w:spacing w:before="0" w:line="240" w:lineRule="atLeast"/>
              <w:ind w:firstLine="0"/>
              <w:jc w:val="center"/>
              <w:rPr>
                <w:sz w:val="18"/>
                <w:szCs w:val="18"/>
              </w:rPr>
            </w:pPr>
            <w:r>
              <w:rPr>
                <w:sz w:val="18"/>
                <w:szCs w:val="18"/>
              </w:rPr>
              <w:t>13</w:t>
            </w:r>
          </w:p>
        </w:tc>
      </w:tr>
      <w:tr w:rsidR="00437E9D" w:rsidRPr="0093730B" w14:paraId="68A5C1CA" w14:textId="77777777" w:rsidTr="00437E9D">
        <w:trPr>
          <w:trHeight w:val="295"/>
        </w:trPr>
        <w:tc>
          <w:tcPr>
            <w:tcW w:w="6289" w:type="dxa"/>
            <w:shd w:val="clear" w:color="auto" w:fill="BDD6EE"/>
            <w:vAlign w:val="center"/>
          </w:tcPr>
          <w:p w14:paraId="5D067FDB" w14:textId="77777777" w:rsidR="00437E9D" w:rsidRPr="008F64B0" w:rsidRDefault="00437E9D" w:rsidP="0003481B">
            <w:pPr>
              <w:keepNext/>
              <w:spacing w:before="0" w:line="240" w:lineRule="atLeast"/>
              <w:ind w:firstLine="0"/>
              <w:jc w:val="left"/>
              <w:rPr>
                <w:rFonts w:cs="Arial"/>
                <w:b/>
                <w:color w:val="000000"/>
                <w:sz w:val="18"/>
                <w:szCs w:val="18"/>
              </w:rPr>
            </w:pPr>
            <w:r w:rsidRPr="008F64B0">
              <w:rPr>
                <w:rFonts w:cs="Arial"/>
                <w:b/>
                <w:color w:val="000000"/>
                <w:sz w:val="18"/>
                <w:szCs w:val="18"/>
              </w:rPr>
              <w:t>Suma všech nákladů [Kč]</w:t>
            </w:r>
          </w:p>
        </w:tc>
        <w:tc>
          <w:tcPr>
            <w:tcW w:w="1407" w:type="dxa"/>
            <w:shd w:val="clear" w:color="auto" w:fill="BDD6EE"/>
            <w:vAlign w:val="center"/>
          </w:tcPr>
          <w:p w14:paraId="5D63D238" w14:textId="77777777" w:rsidR="00437E9D" w:rsidRPr="00A76B5A" w:rsidRDefault="00437E9D" w:rsidP="0003481B">
            <w:pPr>
              <w:keepNext/>
              <w:spacing w:before="0" w:line="240" w:lineRule="atLeast"/>
              <w:ind w:firstLine="0"/>
              <w:jc w:val="right"/>
              <w:rPr>
                <w:rFonts w:cs="Arial"/>
                <w:b/>
                <w:color w:val="000000"/>
                <w:sz w:val="18"/>
                <w:szCs w:val="18"/>
              </w:rPr>
            </w:pPr>
            <w:r>
              <w:rPr>
                <w:rFonts w:cs="Arial"/>
                <w:b/>
                <w:color w:val="000000"/>
                <w:sz w:val="18"/>
                <w:szCs w:val="18"/>
              </w:rPr>
              <w:t>12 353</w:t>
            </w:r>
          </w:p>
        </w:tc>
        <w:tc>
          <w:tcPr>
            <w:tcW w:w="1409" w:type="dxa"/>
            <w:shd w:val="clear" w:color="auto" w:fill="BDD6EE"/>
            <w:vAlign w:val="center"/>
          </w:tcPr>
          <w:p w14:paraId="59848A21" w14:textId="77777777" w:rsidR="00437E9D" w:rsidRPr="009641DC" w:rsidRDefault="00437E9D" w:rsidP="0003481B">
            <w:pPr>
              <w:keepNext/>
              <w:spacing w:before="0" w:line="240" w:lineRule="atLeast"/>
              <w:ind w:firstLine="0"/>
              <w:jc w:val="right"/>
              <w:rPr>
                <w:rFonts w:cs="Arial"/>
                <w:b/>
                <w:color w:val="000000"/>
                <w:sz w:val="18"/>
                <w:szCs w:val="18"/>
              </w:rPr>
            </w:pPr>
            <w:r>
              <w:rPr>
                <w:rFonts w:cs="Arial"/>
                <w:b/>
                <w:color w:val="000000"/>
                <w:sz w:val="18"/>
                <w:szCs w:val="18"/>
              </w:rPr>
              <w:t>17 251</w:t>
            </w:r>
          </w:p>
        </w:tc>
      </w:tr>
    </w:tbl>
    <w:p w14:paraId="3A0845AA" w14:textId="77777777" w:rsidR="00616C5B" w:rsidRDefault="00616C5B" w:rsidP="00616C5B">
      <w:pPr>
        <w:pStyle w:val="Zdroje"/>
        <w:spacing w:after="240"/>
      </w:pPr>
      <w:r w:rsidRPr="00A3193B">
        <w:t>Zdroj: Dotazníkové šetření u chovatelů hospodářských zvířat v oblastech s výskytem vlka, ÚZEI 2023</w:t>
      </w:r>
    </w:p>
    <w:p w14:paraId="6A655815" w14:textId="77777777" w:rsidR="00616C5B" w:rsidRDefault="00616C5B" w:rsidP="00EF651C">
      <w:pPr>
        <w:pStyle w:val="Nadpis2"/>
      </w:pPr>
      <w:bookmarkStart w:id="74" w:name="_Toc138062967"/>
      <w:r>
        <w:t>Výše nákladů na organizaci pastvy ve vztahu k výměře či počtu chovaných zvířat</w:t>
      </w:r>
      <w:bookmarkEnd w:id="74"/>
    </w:p>
    <w:p w14:paraId="0E5EEFE9" w14:textId="77777777" w:rsidR="00130EC9" w:rsidRDefault="00616C5B" w:rsidP="00130EC9">
      <w:r w:rsidRPr="00FE07DA">
        <w:t>Tato kapitola je vytvořena za pomocí způsobu výpočtu, kdy</w:t>
      </w:r>
      <w:r>
        <w:t xml:space="preserve"> </w:t>
      </w:r>
      <w:r w:rsidRPr="00FE07DA">
        <w:t>jsou u</w:t>
      </w:r>
      <w:r w:rsidR="002D6E82">
        <w:t> </w:t>
      </w:r>
      <w:r w:rsidRPr="00FE07DA">
        <w:t xml:space="preserve">každého respondenta zohledněny </w:t>
      </w:r>
      <w:r>
        <w:t xml:space="preserve">zvýšené </w:t>
      </w:r>
      <w:r w:rsidRPr="00FE07DA">
        <w:t xml:space="preserve">náklady na </w:t>
      </w:r>
      <w:r w:rsidR="00002F04">
        <w:t xml:space="preserve">veškerá </w:t>
      </w:r>
      <w:r w:rsidRPr="00FE07DA">
        <w:t>opatření, která chovatelé v</w:t>
      </w:r>
      <w:r>
        <w:t> </w:t>
      </w:r>
      <w:r w:rsidRPr="00FE07DA">
        <w:t>současnosti</w:t>
      </w:r>
      <w:r>
        <w:t xml:space="preserve"> </w:t>
      </w:r>
      <w:r w:rsidRPr="00FE07DA">
        <w:t>provádějí, aby ochránil</w:t>
      </w:r>
      <w:r>
        <w:t>i</w:t>
      </w:r>
      <w:r w:rsidRPr="00FE07DA">
        <w:t xml:space="preserve"> svá stáda.</w:t>
      </w:r>
    </w:p>
    <w:p w14:paraId="55ED6A43" w14:textId="15E5078A" w:rsidR="00616C5B" w:rsidRDefault="00616C5B" w:rsidP="00130EC9">
      <w:r>
        <w:t xml:space="preserve">Pro obě varianty </w:t>
      </w:r>
      <w:r w:rsidR="0081799D">
        <w:t>(</w:t>
      </w:r>
      <w:r w:rsidR="00590C4F">
        <w:t xml:space="preserve">plošná či ve vztahu k počtu VDJ) </w:t>
      </w:r>
      <w:r>
        <w:t>byla vytvořena kalkulačka, kde se operativně počítá, jaká výše sazby vzniká v závislosti na zadaném počtu hektarů či VDJ.</w:t>
      </w:r>
    </w:p>
    <w:p w14:paraId="101268BB" w14:textId="76256DC3" w:rsidR="00616C5B" w:rsidRDefault="00616C5B" w:rsidP="00EF651C">
      <w:pPr>
        <w:pStyle w:val="Nadpis3"/>
      </w:pPr>
      <w:bookmarkStart w:id="75" w:name="_Toc138062968"/>
      <w:r w:rsidRPr="00CC35EA">
        <w:lastRenderedPageBreak/>
        <w:t>Celkové započítané náklady plynoucí z</w:t>
      </w:r>
      <w:r>
        <w:t> </w:t>
      </w:r>
      <w:r w:rsidRPr="00CC35EA">
        <w:t>organizace pastvy s</w:t>
      </w:r>
      <w:r>
        <w:t> </w:t>
      </w:r>
      <w:r w:rsidRPr="00CC35EA">
        <w:t>oplocením</w:t>
      </w:r>
      <w:bookmarkEnd w:id="75"/>
    </w:p>
    <w:p w14:paraId="1E039188" w14:textId="77777777" w:rsidR="004F1A7E" w:rsidRDefault="004374E5" w:rsidP="004374E5">
      <w:r>
        <w:t>Do výpočtu vstupují všechna opatření (celkem 5) v rámci organizace pastvy s využitím ohradníku/oplocení, tj. čas strávený instalací oplocení a jejich manipulací, kontrolou a údržbou oplocení, čas strávený hlídáním zvířat na pastvině, čas strávený údržbou travního porostu pod elektrickými ohradníky a čas strávený přeháněním zvířat. Každý respondent uvedl zvýšenou časovou náročnost u jiných typů opatření, což je znázorněno v předchozím textu</w:t>
      </w:r>
      <w:r w:rsidRPr="000C1496">
        <w:t xml:space="preserve"> </w:t>
      </w:r>
      <w:r>
        <w:t xml:space="preserve">(viz </w:t>
      </w:r>
      <w:r>
        <w:fldChar w:fldCharType="begin"/>
      </w:r>
      <w:r>
        <w:instrText xml:space="preserve"> REF _Ref137647408 \h </w:instrText>
      </w:r>
      <w:r>
        <w:fldChar w:fldCharType="separate"/>
      </w:r>
      <w:r>
        <w:t>Tab. </w:t>
      </w:r>
      <w:r>
        <w:rPr>
          <w:noProof/>
        </w:rPr>
        <w:t>2</w:t>
      </w:r>
      <w:r>
        <w:fldChar w:fldCharType="end"/>
      </w:r>
      <w:r>
        <w:t>).</w:t>
      </w:r>
    </w:p>
    <w:p w14:paraId="5C5E824E" w14:textId="7E3A4F5D" w:rsidR="004374E5" w:rsidRDefault="004F1A7E" w:rsidP="004374E5">
      <w:r>
        <w:t>Data pro sumu provozních nákladů jsou součtem pravidelných provozních nákladů, které jednotlivým subjektům vznikají navíc z důvodu možného výskytu vlka v rámci zabezpečení pastvin s využitím oplocení. Celkově jsou ve výpočtu uvažovány údaje od 48 respondentů šetření, které se do celkové sumy nákladů daly zahrnout. Celkem osm nejodlehlejších údajů (4 z obou směrů) bylo z výpočtu vyloučeno.</w:t>
      </w:r>
    </w:p>
    <w:p w14:paraId="63180A49" w14:textId="77777777" w:rsidR="004F1A7E" w:rsidRDefault="004F1A7E" w:rsidP="004374E5"/>
    <w:p w14:paraId="55B66145" w14:textId="2C24E60D" w:rsidR="0085136E" w:rsidRPr="00D35C5D" w:rsidRDefault="0085136E" w:rsidP="00616C5B">
      <w:pPr>
        <w:rPr>
          <w:b/>
          <w:bCs/>
          <w:caps/>
          <w:u w:val="single"/>
        </w:rPr>
      </w:pPr>
      <w:r w:rsidRPr="00D35C5D">
        <w:rPr>
          <w:b/>
          <w:bCs/>
          <w:caps/>
          <w:u w:val="single"/>
        </w:rPr>
        <w:t>Ve vztahu k výměře pastvin</w:t>
      </w:r>
    </w:p>
    <w:p w14:paraId="5162CD46" w14:textId="4E42BE8F" w:rsidR="00616C5B" w:rsidRDefault="00616C5B" w:rsidP="00616C5B">
      <w:r>
        <w:t>Jsou zahrnuty položky týkající se pastvin s využitím nějakého typu oplocení, které jsou vztaženy na 1 hektar pastviny každého respondenta.</w:t>
      </w:r>
    </w:p>
    <w:p w14:paraId="5669D164" w14:textId="68B34B20" w:rsidR="00616C5B" w:rsidRDefault="00FE09AE" w:rsidP="00616C5B">
      <w:r>
        <w:t>Na datech se prokázala</w:t>
      </w:r>
      <w:r w:rsidR="00616C5B">
        <w:t xml:space="preserve"> vazba mezi celkovými náklady (spojenými s organizací pastvy s</w:t>
      </w:r>
      <w:r w:rsidR="0085136E">
        <w:t> </w:t>
      </w:r>
      <w:r w:rsidR="00616C5B">
        <w:t>ohradníkem) na 1 hektar pastviny a růstem výměry</w:t>
      </w:r>
      <w:r>
        <w:t xml:space="preserve">, tedy </w:t>
      </w:r>
      <w:r w:rsidR="00616C5B">
        <w:t>s rostoucí výměrou náklady na hektar pastvin klesají. Podniky/chovatelé s menší výměrou pastvin tedy platí vyšší celkovou sumu provozních nákladů v přepočtu na hektar pastviny než podniky s</w:t>
      </w:r>
      <w:r w:rsidR="00F71878">
        <w:t> </w:t>
      </w:r>
      <w:r w:rsidR="00616C5B">
        <w:t>vyšší výměrou. Ve výsledcích se nalezly i odchylky od tohoto trendu, ale v průměru je spojnice klesající.</w:t>
      </w:r>
    </w:p>
    <w:p w14:paraId="460FB891" w14:textId="4B69DD71" w:rsidR="00616C5B" w:rsidRDefault="00227915" w:rsidP="00616C5B">
      <w:r>
        <w:t>Opět bylo přistoupeno k </w:t>
      </w:r>
      <w:r w:rsidR="00616C5B">
        <w:t>urč</w:t>
      </w:r>
      <w:r w:rsidR="00916829">
        <w:t>ení</w:t>
      </w:r>
      <w:r w:rsidR="00616C5B">
        <w:t xml:space="preserve"> minimální výš</w:t>
      </w:r>
      <w:r w:rsidR="00916829">
        <w:t>e</w:t>
      </w:r>
      <w:r w:rsidR="00616C5B">
        <w:t xml:space="preserve"> nákladů, pod kterou finanční náhrada neklesne. Tato je stanovena</w:t>
      </w:r>
      <w:r w:rsidR="00FF5E19">
        <w:t xml:space="preserve"> </w:t>
      </w:r>
      <w:r w:rsidR="00BD13F9">
        <w:t>ve shodné výši, jako doposud, tedy na úrovni 4 900 Kč/ha</w:t>
      </w:r>
      <w:r w:rsidR="00BA34F0">
        <w:t>, aby byla zachována kontinuita</w:t>
      </w:r>
      <w:r w:rsidR="002924CF" w:rsidRPr="002924CF">
        <w:t xml:space="preserve"> </w:t>
      </w:r>
      <w:r w:rsidR="002924CF">
        <w:t>s aktuálně platnou vyhláškou pro rok 2023</w:t>
      </w:r>
      <w:r w:rsidR="00616C5B">
        <w:t>.</w:t>
      </w:r>
      <w:r w:rsidR="00EE274C">
        <w:t xml:space="preserve"> Liší se pouze stanovená výměra, od které se tato minimální výše bude dostávat</w:t>
      </w:r>
      <w:r w:rsidR="00B220A7">
        <w:t>. Nyní je to již u</w:t>
      </w:r>
      <w:r w:rsidR="00E801B1">
        <w:t> </w:t>
      </w:r>
      <w:r w:rsidR="00B220A7">
        <w:t xml:space="preserve">36 ha, jak je patrné na </w:t>
      </w:r>
      <w:r w:rsidR="00B220A7">
        <w:fldChar w:fldCharType="begin"/>
      </w:r>
      <w:r w:rsidR="00B220A7">
        <w:instrText xml:space="preserve"> REF _Ref139979458 \h </w:instrText>
      </w:r>
      <w:r w:rsidR="00B220A7">
        <w:fldChar w:fldCharType="separate"/>
      </w:r>
      <w:r w:rsidR="00486DB8">
        <w:t>Obr. </w:t>
      </w:r>
      <w:r w:rsidR="00486DB8">
        <w:rPr>
          <w:noProof/>
        </w:rPr>
        <w:t>6</w:t>
      </w:r>
      <w:r w:rsidR="00B220A7">
        <w:fldChar w:fldCharType="end"/>
      </w:r>
      <w:r w:rsidR="00B220A7">
        <w:t>.</w:t>
      </w:r>
      <w:r w:rsidR="00E801B1">
        <w:t xml:space="preserve"> Od této úrovně totiž dle modelu již vychází nižší sazba na jeden hektar</w:t>
      </w:r>
      <w:r w:rsidR="00FD4D96">
        <w:t xml:space="preserve">, což znázorňuje </w:t>
      </w:r>
      <w:r w:rsidR="00672A1C">
        <w:t>bodová křivka</w:t>
      </w:r>
      <w:r w:rsidR="00E801B1">
        <w:t>.</w:t>
      </w:r>
    </w:p>
    <w:p w14:paraId="3CECCE33" w14:textId="77777777" w:rsidR="00FF5E19" w:rsidRDefault="00FF5E19" w:rsidP="00616C5B"/>
    <w:p w14:paraId="64286ADD" w14:textId="2079DAB4" w:rsidR="00616C5B" w:rsidRPr="00D35C5D" w:rsidRDefault="00616C5B" w:rsidP="00D35C5D">
      <w:pPr>
        <w:rPr>
          <w:b/>
          <w:bCs/>
          <w:caps/>
          <w:u w:val="single"/>
        </w:rPr>
      </w:pPr>
      <w:r w:rsidRPr="00D35C5D">
        <w:rPr>
          <w:b/>
          <w:bCs/>
          <w:caps/>
          <w:u w:val="single"/>
        </w:rPr>
        <w:t>ve vztahu k počtu velkých dobytčích jednotek</w:t>
      </w:r>
    </w:p>
    <w:p w14:paraId="7D989877" w14:textId="099264E0" w:rsidR="00616C5B" w:rsidRDefault="00616C5B" w:rsidP="00616C5B">
      <w:r>
        <w:t xml:space="preserve">Tentýž </w:t>
      </w:r>
      <w:r w:rsidR="00BC730D">
        <w:t xml:space="preserve">výpočet </w:t>
      </w:r>
      <w:r>
        <w:t xml:space="preserve">byl proveden také pro zjištění vazby na počet chovaných zvířat, tedy v přepočtu na velké dobytčí jednotky. </w:t>
      </w:r>
      <w:r w:rsidR="00BC730D">
        <w:t>V</w:t>
      </w:r>
      <w:r>
        <w:t>azba mezi celkovými náklady (spojenými s organizací pastvy s</w:t>
      </w:r>
      <w:r w:rsidR="00707C7C">
        <w:t> </w:t>
      </w:r>
      <w:r>
        <w:t xml:space="preserve">ohradníkem) na 1 VDJ </w:t>
      </w:r>
      <w:r w:rsidR="005431F6">
        <w:t>je velmi obdobná jako ve vztahu k</w:t>
      </w:r>
      <w:r w:rsidR="00B00183">
        <w:t> </w:t>
      </w:r>
      <w:r w:rsidR="005431F6">
        <w:t>výměře</w:t>
      </w:r>
      <w:r w:rsidR="00B00183">
        <w:t>, což dokládá následující graf, kde jsou vyjádřeny výsledné výše sazby p</w:t>
      </w:r>
      <w:r w:rsidR="00CE19FB">
        <w:t>ro obě varianty.</w:t>
      </w:r>
      <w:r w:rsidR="004F1A7E">
        <w:t xml:space="preserve"> Také s </w:t>
      </w:r>
      <w:r>
        <w:t xml:space="preserve">rostoucím počtem VDJ náklady na jednotku klesají, obdobně jako ve vztahu k výměře. Toto je potvrzením, že u chovatelů je vazba mezi výměrou pastviny a počtem zvířat na ní pasených. Nepotvrdil se tedy předpoklad, že ve vztahu k VDJ vazba být prokazatelně nemusí. Stále je však riziko, že při stanovení sazby právě na VDJ </w:t>
      </w:r>
      <w:r w:rsidR="00E71F43">
        <w:t>může být vnímáno jako podpora produkce.</w:t>
      </w:r>
    </w:p>
    <w:p w14:paraId="621E1AEB" w14:textId="426ABCCA" w:rsidR="00616C5B" w:rsidRDefault="00F45E86" w:rsidP="00130EC9">
      <w:r>
        <w:t>Opět bylo přistoupeno k určení minimální výše nákladů, pod kterou finanční náhrada neklesne. Tato je stanovena ve shodné výši, jako doposud, tedy na úrovni 4 900 Kč/VDJ</w:t>
      </w:r>
      <w:r w:rsidR="00E801B1">
        <w:t xml:space="preserve">, aby byla zachována kontinuita. Hranice, od které se tato minimální výše bude dostávat, je stanovena na </w:t>
      </w:r>
      <w:r w:rsidR="00170622">
        <w:t>41</w:t>
      </w:r>
      <w:r w:rsidR="00E801B1">
        <w:t> </w:t>
      </w:r>
      <w:r w:rsidR="00170622">
        <w:t>VDJ</w:t>
      </w:r>
      <w:r w:rsidR="00E801B1">
        <w:t xml:space="preserve">, jak je patrné na </w:t>
      </w:r>
      <w:r w:rsidR="00E801B1">
        <w:fldChar w:fldCharType="begin"/>
      </w:r>
      <w:r w:rsidR="00E801B1">
        <w:instrText xml:space="preserve"> REF _Ref139979458 \h </w:instrText>
      </w:r>
      <w:r w:rsidR="00E801B1">
        <w:fldChar w:fldCharType="separate"/>
      </w:r>
      <w:r w:rsidR="00486DB8">
        <w:t>Obr. </w:t>
      </w:r>
      <w:r w:rsidR="00486DB8">
        <w:rPr>
          <w:noProof/>
        </w:rPr>
        <w:t>6</w:t>
      </w:r>
      <w:r w:rsidR="00E801B1">
        <w:fldChar w:fldCharType="end"/>
      </w:r>
      <w:r w:rsidR="00E801B1">
        <w:t>. Od této úrovně totiž dle modelu již vychází nižší sazba na jed</w:t>
      </w:r>
      <w:r w:rsidR="00170622">
        <w:t>nu velkou dobytčí jednotku</w:t>
      </w:r>
      <w:r w:rsidR="00672A1C">
        <w:t>, což znázorňuje bodová křivka</w:t>
      </w:r>
      <w:r w:rsidR="00E801B1">
        <w:t>.</w:t>
      </w:r>
    </w:p>
    <w:p w14:paraId="4C08ADF1" w14:textId="51F72DA2" w:rsidR="00616C5B" w:rsidRDefault="00062493" w:rsidP="00616C5B">
      <w:pPr>
        <w:keepNext/>
      </w:pPr>
      <w:r>
        <w:t>V</w:t>
      </w:r>
      <w:r w:rsidR="00616C5B">
        <w:t>ýše sazby podle spojnic trendu jsou pak modelově znázorněny na následujíc</w:t>
      </w:r>
      <w:r w:rsidR="00E33739">
        <w:t>í</w:t>
      </w:r>
      <w:r w:rsidR="00836B16">
        <w:t>m</w:t>
      </w:r>
      <w:r w:rsidR="00616C5B">
        <w:t xml:space="preserve"> graf</w:t>
      </w:r>
      <w:r w:rsidR="00836B16">
        <w:t>u</w:t>
      </w:r>
      <w:r w:rsidR="00E33739">
        <w:t xml:space="preserve"> </w:t>
      </w:r>
      <w:r w:rsidR="00FF5E19">
        <w:t>ve vztahu k výměře i</w:t>
      </w:r>
      <w:r w:rsidR="00796973">
        <w:t> </w:t>
      </w:r>
      <w:r w:rsidR="00FF5E19">
        <w:t>k</w:t>
      </w:r>
      <w:r w:rsidR="00796973">
        <w:t xml:space="preserve"> počtu </w:t>
      </w:r>
      <w:r w:rsidR="00FF5E19">
        <w:t>VDJ</w:t>
      </w:r>
      <w:r w:rsidR="00616C5B">
        <w:t>.</w:t>
      </w:r>
    </w:p>
    <w:p w14:paraId="6D26DED2" w14:textId="77777777" w:rsidR="00616C5B" w:rsidRDefault="00616C5B" w:rsidP="00616C5B">
      <w:pPr>
        <w:ind w:firstLine="0"/>
      </w:pPr>
    </w:p>
    <w:p w14:paraId="6272629E" w14:textId="07C6E2B4" w:rsidR="000C1568" w:rsidRDefault="00300CD1" w:rsidP="00D35C5D">
      <w:pPr>
        <w:keepNext/>
        <w:ind w:firstLine="0"/>
      </w:pPr>
      <w:r>
        <w:rPr>
          <w:noProof/>
          <w14:ligatures w14:val="standardContextual"/>
        </w:rPr>
        <w:lastRenderedPageBreak/>
        <w:drawing>
          <wp:inline distT="0" distB="0" distL="0" distR="0" wp14:anchorId="5DCC3460" wp14:editId="68199A9D">
            <wp:extent cx="5760000" cy="3019425"/>
            <wp:effectExtent l="0" t="0" r="0" b="0"/>
            <wp:docPr id="982719120" name="Graf 1">
              <a:extLst xmlns:a="http://schemas.openxmlformats.org/drawingml/2006/main">
                <a:ext uri="{FF2B5EF4-FFF2-40B4-BE49-F238E27FC236}">
                  <a16:creationId xmlns:a16="http://schemas.microsoft.com/office/drawing/2014/main" id="{3018A5D0-3869-4A74-B301-A9891591F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BDDAD2" w14:textId="7B6E35F5" w:rsidR="00793464" w:rsidRPr="00E20D03" w:rsidRDefault="000C1568" w:rsidP="00E20D03">
      <w:pPr>
        <w:pStyle w:val="Titulek"/>
        <w:jc w:val="both"/>
        <w:rPr>
          <w:b w:val="0"/>
          <w:bCs w:val="0"/>
        </w:rPr>
      </w:pPr>
      <w:bookmarkStart w:id="76" w:name="_Ref139979458"/>
      <w:r>
        <w:t>Obr. </w:t>
      </w:r>
      <w:r w:rsidR="00F41AB0">
        <w:fldChar w:fldCharType="begin"/>
      </w:r>
      <w:r w:rsidR="00F41AB0">
        <w:instrText xml:space="preserve"> SEQ Obr. \* ARABIC </w:instrText>
      </w:r>
      <w:r w:rsidR="00F41AB0">
        <w:fldChar w:fldCharType="separate"/>
      </w:r>
      <w:r w:rsidR="00486DB8">
        <w:rPr>
          <w:noProof/>
        </w:rPr>
        <w:t>6</w:t>
      </w:r>
      <w:r w:rsidR="00F41AB0">
        <w:rPr>
          <w:noProof/>
        </w:rPr>
        <w:fldChar w:fldCharType="end"/>
      </w:r>
      <w:bookmarkEnd w:id="76"/>
      <w:r>
        <w:t xml:space="preserve"> V</w:t>
      </w:r>
      <w:r w:rsidR="00A0488D">
        <w:t>ývoj v</w:t>
      </w:r>
      <w:r>
        <w:t xml:space="preserve">ýše sazby </w:t>
      </w:r>
      <w:r w:rsidR="00246F36">
        <w:t xml:space="preserve">na </w:t>
      </w:r>
      <w:r w:rsidR="0057213D">
        <w:t xml:space="preserve">měrnou </w:t>
      </w:r>
      <w:r w:rsidR="00246F36">
        <w:t xml:space="preserve">jednotku </w:t>
      </w:r>
      <w:r w:rsidR="00413762">
        <w:t>(ha/VDJ)</w:t>
      </w:r>
      <w:r w:rsidR="00B701AA">
        <w:t xml:space="preserve"> s</w:t>
      </w:r>
      <w:r w:rsidR="00190D26">
        <w:t xml:space="preserve"> rostoucí výměrou či </w:t>
      </w:r>
      <w:r w:rsidR="00A0488D">
        <w:t>počtem VDJ</w:t>
      </w:r>
      <w:r w:rsidR="00F3087C" w:rsidRPr="00F3087C">
        <w:t xml:space="preserve"> </w:t>
      </w:r>
      <w:r w:rsidR="00F3087C">
        <w:t>při zahrnutí nákladů na organizaci pastvy s oplocením</w:t>
      </w:r>
    </w:p>
    <w:p w14:paraId="1B316014" w14:textId="5D5A5046" w:rsidR="000E18AD" w:rsidRPr="000E18AD" w:rsidRDefault="00D17980" w:rsidP="000E18AD">
      <w:pPr>
        <w:pStyle w:val="Nadpis3"/>
      </w:pPr>
      <w:r w:rsidRPr="00CC35EA">
        <w:t>Celkové započítané náklady plynoucí z</w:t>
      </w:r>
      <w:r>
        <w:t> </w:t>
      </w:r>
      <w:r w:rsidRPr="00CC35EA">
        <w:t>organizace pastvy s</w:t>
      </w:r>
      <w:r>
        <w:t> </w:t>
      </w:r>
      <w:r w:rsidRPr="00CC35EA">
        <w:t>oplocením</w:t>
      </w:r>
      <w:r w:rsidR="001D1813">
        <w:t xml:space="preserve"> ve</w:t>
      </w:r>
      <w:r>
        <w:t> </w:t>
      </w:r>
      <w:r w:rsidR="001D1813">
        <w:t>vztahu k výměře v</w:t>
      </w:r>
      <w:r>
        <w:t> </w:t>
      </w:r>
      <w:r w:rsidR="001D1813">
        <w:t>rozdělení na malé a velké subjekty</w:t>
      </w:r>
    </w:p>
    <w:p w14:paraId="6266CC44" w14:textId="77777777" w:rsidR="000E18AD" w:rsidRDefault="000E18AD" w:rsidP="000E18AD">
      <w:r>
        <w:t xml:space="preserve">Na jednání pracovní skupiny, které se konalo dne 20. července 2023, byly představeny předběžné výsledky dotazníkového šetření. S ohledem na argumenty vznesené zemědělskými subjekty a nerovnoměrné rozložení respondentů v jednotlivých velikostních kategoriích bylo přistoupeno k doplnění varianty s rozdělením respondentů na skupiny právě dle jejich výměry. Z jednání také vzešel požadavek na výpočet pouze ve vztahu k výměře. </w:t>
      </w:r>
      <w:r w:rsidRPr="00FE07DA">
        <w:t>Tato kapitola je vytvořena za pomocí způsobu výpočtu, kdy</w:t>
      </w:r>
      <w:r>
        <w:t xml:space="preserve"> </w:t>
      </w:r>
      <w:r w:rsidRPr="00FE07DA">
        <w:t>jsou u</w:t>
      </w:r>
      <w:r>
        <w:t> k</w:t>
      </w:r>
      <w:r w:rsidRPr="00FE07DA">
        <w:t xml:space="preserve">aždého respondenta zohledněny </w:t>
      </w:r>
      <w:r>
        <w:t xml:space="preserve">zvýšené </w:t>
      </w:r>
      <w:r w:rsidRPr="00FE07DA">
        <w:t>náklady na opatření, která chovatelé v</w:t>
      </w:r>
      <w:r>
        <w:t> </w:t>
      </w:r>
      <w:r w:rsidRPr="00FE07DA">
        <w:t>současnosti</w:t>
      </w:r>
      <w:r>
        <w:t xml:space="preserve"> </w:t>
      </w:r>
      <w:r w:rsidRPr="00FE07DA">
        <w:t>provádějí, aby ochránil</w:t>
      </w:r>
      <w:r>
        <w:t>i</w:t>
      </w:r>
      <w:r w:rsidRPr="00FE07DA">
        <w:t xml:space="preserve"> svá stáda.</w:t>
      </w:r>
    </w:p>
    <w:p w14:paraId="1CB74916" w14:textId="2BFA3D67" w:rsidR="000E18AD" w:rsidRDefault="000E18AD" w:rsidP="000E18AD">
      <w:r>
        <w:t>Z celkových 59 respondentů dotazníkového šetření má 76 % (tj. 45 subjektů) výměru pastvin do</w:t>
      </w:r>
      <w:r w:rsidR="00E20D03">
        <w:t> </w:t>
      </w:r>
      <w:r>
        <w:t>42 ha a pouze zbylých 24 %, tj. 14 subjektů, tuto výměru přesahuje. Větší váha tedy při stanovení vztahu k výměře pastvin připadá právě na respondenty s menší výměrou, a tato nerovnoměrnost ovlivňuje a zkresluje výsledný vztah těchto veličin. Byla proto vytvořena tzv. lomená funkce, jejíž bod zlomu se nachází právě na výměře 42 ha. V obou kategoriích farem dle velikosti dochází ke snižování nákladů s rostoucí výměrou, přičemž u malých výměr je tento vztah velmi strmý, ale u velkých výměr je již pozvolnější, což je patrné z </w:t>
      </w:r>
      <w:r>
        <w:fldChar w:fldCharType="begin"/>
      </w:r>
      <w:r>
        <w:instrText xml:space="preserve"> REF _Ref144970453 \h </w:instrText>
      </w:r>
      <w:r>
        <w:fldChar w:fldCharType="separate"/>
      </w:r>
      <w:r>
        <w:t>Obr. </w:t>
      </w:r>
      <w:r w:rsidR="00E20D03">
        <w:rPr>
          <w:noProof/>
        </w:rPr>
        <w:t>7</w:t>
      </w:r>
      <w:r>
        <w:fldChar w:fldCharType="end"/>
      </w:r>
      <w:r>
        <w:t>.</w:t>
      </w:r>
    </w:p>
    <w:p w14:paraId="3E7B988D" w14:textId="77777777" w:rsidR="000E18AD" w:rsidRDefault="000E18AD" w:rsidP="000E18AD">
      <w:r>
        <w:t xml:space="preserve">U subjektů, jejichž celková výměra pastvin, na kterých provádí patřičné operace pro snížení rizika útoku vlka a vynakládají zde tedy vyšší náklady při hospodaření, je v kategorii do 42 hektarů stanovena dle lineární rovnice, u které vychází koeficient determinace nejspolehlivěji. Na základě profiltrovaných (po odstranění extrémů pro výpočet uvažováno celkem 36 subjektů) a seřazených dat (celkové provozní náklady dle výměry pastvin respondentů) byla </w:t>
      </w:r>
      <w:r w:rsidRPr="000C0C2D">
        <w:t>vytvořena</w:t>
      </w:r>
      <w:r>
        <w:t xml:space="preserve"> pomocí řešitele v programu Excel lineární</w:t>
      </w:r>
      <w:r w:rsidRPr="006656EB">
        <w:t xml:space="preserve"> rovnice</w:t>
      </w:r>
      <w:r>
        <w:t>:</w:t>
      </w:r>
    </w:p>
    <w:p w14:paraId="26981E9C" w14:textId="77777777" w:rsidR="000E18AD" w:rsidRDefault="000E18AD" w:rsidP="000E18AD">
      <w:pPr>
        <w:pStyle w:val="Odstavecseseznamem"/>
        <w:numPr>
          <w:ilvl w:val="0"/>
          <w:numId w:val="29"/>
        </w:numPr>
      </w:pPr>
      <m:oMath>
        <m:r>
          <w:rPr>
            <w:rFonts w:ascii="Cambria Math" w:hAnsi="Cambria Math" w:cs="Arial"/>
          </w:rPr>
          <m:t>y= -490,973429108546×x+26 296,1413640931</m:t>
        </m:r>
      </m:oMath>
      <w:r>
        <w:t>.</w:t>
      </w:r>
    </w:p>
    <w:p w14:paraId="34DB01CB" w14:textId="6F3D9096" w:rsidR="000E18AD" w:rsidRDefault="000E18AD" w:rsidP="000E18AD">
      <w:r>
        <w:t>Tato rovnice se poté převedla do tabulky, která zobrazuje model vývoje provozních nákladů na</w:t>
      </w:r>
      <w:r w:rsidR="00E20D03">
        <w:t> </w:t>
      </w:r>
      <w:r>
        <w:t>1 ha pastviny se vzrůstající výměrou. Jelikož</w:t>
      </w:r>
      <w:r w:rsidRPr="00640F3F">
        <w:t xml:space="preserve"> </w:t>
      </w:r>
      <w:r>
        <w:t xml:space="preserve">náklady jednotlivých respondentů byly velmi variabilní, </w:t>
      </w:r>
      <w:r>
        <w:lastRenderedPageBreak/>
        <w:t xml:space="preserve">průběh křivky klesajících nákladů je velmi strmý (na </w:t>
      </w:r>
      <w:r>
        <w:fldChar w:fldCharType="begin"/>
      </w:r>
      <w:r>
        <w:instrText xml:space="preserve"> REF _Ref144970453 \h </w:instrText>
      </w:r>
      <w:r>
        <w:fldChar w:fldCharType="separate"/>
      </w:r>
      <w:r>
        <w:t>Obr. </w:t>
      </w:r>
      <w:r w:rsidR="00E20D03">
        <w:rPr>
          <w:noProof/>
        </w:rPr>
        <w:t>7</w:t>
      </w:r>
      <w:r>
        <w:fldChar w:fldCharType="end"/>
      </w:r>
      <w:r>
        <w:t xml:space="preserve"> se jedná o počátek křivky, tj. od výměry 1 ha do 42 ha).</w:t>
      </w:r>
    </w:p>
    <w:p w14:paraId="50E08849" w14:textId="77777777" w:rsidR="000E18AD" w:rsidRDefault="000E18AD" w:rsidP="000E18AD">
      <w:r>
        <w:t>Pro subjekty s výměrou přesahující hranici 42 ha byla shodným způsobem, tj. pomocí řešitele v programu Excel na základě profiltrovaných (bez extrémů pro výpočet uvažováno celkem 11 subjektů) a seřazených dat, vytvořena následující</w:t>
      </w:r>
      <w:r w:rsidRPr="00A57542">
        <w:t xml:space="preserve"> </w:t>
      </w:r>
      <w:r>
        <w:t>lineární rovnice:</w:t>
      </w:r>
    </w:p>
    <w:p w14:paraId="50D9338F" w14:textId="77777777" w:rsidR="000E18AD" w:rsidRDefault="000E18AD" w:rsidP="000E18AD">
      <w:pPr>
        <w:pStyle w:val="Odstavecseseznamem"/>
        <w:numPr>
          <w:ilvl w:val="0"/>
          <w:numId w:val="29"/>
        </w:numPr>
      </w:pPr>
      <m:oMath>
        <m:r>
          <w:rPr>
            <w:rFonts w:ascii="Cambria Math" w:hAnsi="Cambria Math" w:cs="Arial"/>
          </w:rPr>
          <m:t>y= -28,166604329608×x+6 940,25461515961</m:t>
        </m:r>
      </m:oMath>
      <w:r>
        <w:t>.</w:t>
      </w:r>
    </w:p>
    <w:p w14:paraId="379BC306" w14:textId="676CCB4B" w:rsidR="000E18AD" w:rsidRDefault="000E18AD" w:rsidP="000E18AD">
      <w:r>
        <w:t>Také tato rovnice se převedla do tabulky, která zobrazuje model vývoje provozních nákladů na</w:t>
      </w:r>
      <w:r w:rsidR="00E20D03">
        <w:t> </w:t>
      </w:r>
      <w:r>
        <w:t>1 ha pastviny se vzrůstající výměrou. Jelikož</w:t>
      </w:r>
      <w:r w:rsidRPr="00640F3F">
        <w:t xml:space="preserve"> </w:t>
      </w:r>
      <w:r>
        <w:t xml:space="preserve">náklady jednotlivých respondentů nebyly natolik variabilní, průběh křivky klesajících nákladů vykazuje pozvolnější průběh (na </w:t>
      </w:r>
      <w:r>
        <w:fldChar w:fldCharType="begin"/>
      </w:r>
      <w:r>
        <w:instrText xml:space="preserve"> REF _Ref144970453 \h </w:instrText>
      </w:r>
      <w:r>
        <w:fldChar w:fldCharType="separate"/>
      </w:r>
      <w:r>
        <w:t>Obr. </w:t>
      </w:r>
      <w:r w:rsidR="00E20D03">
        <w:rPr>
          <w:noProof/>
        </w:rPr>
        <w:t>7</w:t>
      </w:r>
      <w:r>
        <w:fldChar w:fldCharType="end"/>
      </w:r>
      <w:r>
        <w:t xml:space="preserve"> se jedná o křivku od výměry 42 ha). Jelikož</w:t>
      </w:r>
      <w:r w:rsidRPr="00640F3F">
        <w:t xml:space="preserve"> </w:t>
      </w:r>
      <w:r>
        <w:t>byl vzorek respondentů v uskutečněném dotazníkovém šetření vcelku malý, ale zároveň byl vcelku spolehlivě prokázán s rostoucí výměrou pozvolný pokles nákladů v přepočtu na</w:t>
      </w:r>
      <w:r w:rsidR="00E20D03">
        <w:t> </w:t>
      </w:r>
      <w:r>
        <w:t xml:space="preserve">jeden hektar, vznikla při dosazení do rovnice při výměře </w:t>
      </w:r>
      <w:r w:rsidRPr="0002607F">
        <w:t xml:space="preserve">okolo </w:t>
      </w:r>
      <w:r>
        <w:t>2</w:t>
      </w:r>
      <w:r w:rsidRPr="0002607F">
        <w:t>4</w:t>
      </w:r>
      <w:r>
        <w:t>5 ha nulová výše modelových provozních nákladů a od této výměry již vychází hodnoty</w:t>
      </w:r>
      <w:r w:rsidRPr="00B33D0D">
        <w:t xml:space="preserve"> </w:t>
      </w:r>
      <w:r>
        <w:t>záporné, což je z grafu</w:t>
      </w:r>
      <w:r w:rsidRPr="002E0A33">
        <w:t xml:space="preserve"> </w:t>
      </w:r>
      <w:r>
        <w:t>patrné.</w:t>
      </w:r>
    </w:p>
    <w:p w14:paraId="6D95A15B" w14:textId="027EF06B" w:rsidR="000E18AD" w:rsidRDefault="000E18AD" w:rsidP="000E18AD">
      <w:r>
        <w:t>Z důvodu vznikajících záporných</w:t>
      </w:r>
      <w:r w:rsidDel="00B45531">
        <w:t xml:space="preserve"> </w:t>
      </w:r>
      <w:r>
        <w:t>hodnot je proto nutné určit minimální výši nákladů, pod kterou finanční náhrada neklesne. Dle aktuálně platné vyhlášky č. 443/2022 Sb. je tato hranice stanovena na výměře 52 ha, při které vznikaly náklady ve výši 4 900 Kč/ha. Pro zachování kontinuity je proto pro</w:t>
      </w:r>
      <w:r w:rsidR="00E20D03">
        <w:t> </w:t>
      </w:r>
      <w:r>
        <w:t>budoucí novelu vyhlášky možné stanovit tzv. záchovnou úroveň platby dvěma způsoby:</w:t>
      </w:r>
    </w:p>
    <w:p w14:paraId="205C1AA5" w14:textId="72295217" w:rsidR="000E18AD" w:rsidRPr="00BA2A9E" w:rsidRDefault="000E18AD" w:rsidP="000E18AD">
      <w:pPr>
        <w:pStyle w:val="Odstavecseseznamem"/>
        <w:numPr>
          <w:ilvl w:val="0"/>
          <w:numId w:val="30"/>
        </w:numPr>
      </w:pPr>
      <w:r>
        <w:t xml:space="preserve">na shodné výměře, tj. 52 ha, při které však nyní vzniká sazba ve výši </w:t>
      </w:r>
      <w:r w:rsidRPr="0078528E">
        <w:rPr>
          <w:b/>
          <w:bCs/>
        </w:rPr>
        <w:t>5 500 Kč/ha</w:t>
      </w:r>
      <w:r w:rsidR="00BA2A9E">
        <w:rPr>
          <w:b/>
          <w:bCs/>
        </w:rPr>
        <w:t xml:space="preserve"> </w:t>
      </w:r>
      <w:r w:rsidR="00BA2A9E" w:rsidRPr="00BA2A9E">
        <w:rPr>
          <w:bCs/>
        </w:rPr>
        <w:t>(na Obr. 7 modrou barvou)</w:t>
      </w:r>
      <w:r w:rsidRPr="00BA2A9E">
        <w:t>,</w:t>
      </w:r>
    </w:p>
    <w:p w14:paraId="0876E5B7" w14:textId="7A4990B4" w:rsidR="000E18AD" w:rsidRPr="00BA2A9E" w:rsidRDefault="000E18AD" w:rsidP="000E18AD">
      <w:pPr>
        <w:pStyle w:val="Odstavecseseznamem"/>
        <w:numPr>
          <w:ilvl w:val="0"/>
          <w:numId w:val="30"/>
        </w:numPr>
      </w:pPr>
      <w:r>
        <w:t xml:space="preserve">na shodné výši sazby, tj. ve výši 4 900 Kč/ha, která nyní vzniká u výměry </w:t>
      </w:r>
      <w:r w:rsidRPr="0078528E">
        <w:rPr>
          <w:b/>
          <w:bCs/>
        </w:rPr>
        <w:t>75 hektarů</w:t>
      </w:r>
      <w:r w:rsidR="00BA2A9E">
        <w:rPr>
          <w:b/>
          <w:bCs/>
        </w:rPr>
        <w:t xml:space="preserve"> </w:t>
      </w:r>
      <w:r w:rsidR="00BA2A9E" w:rsidRPr="00BA2A9E">
        <w:rPr>
          <w:bCs/>
        </w:rPr>
        <w:t>(na Obr</w:t>
      </w:r>
      <w:r w:rsidRPr="00BA2A9E">
        <w:t>.</w:t>
      </w:r>
      <w:r w:rsidR="00BA2A9E" w:rsidRPr="00BA2A9E">
        <w:t xml:space="preserve"> 7 zelenou barvou)</w:t>
      </w:r>
      <w:r w:rsidR="00BA2A9E">
        <w:t>.</w:t>
      </w:r>
    </w:p>
    <w:p w14:paraId="545752AE" w14:textId="77777777" w:rsidR="000E18AD" w:rsidRDefault="000E18AD" w:rsidP="000E18AD">
      <w:r>
        <w:t>V obou variantách se tedy jedná o navýšení nákladů v porovnání s šetřením provedeným v roce 2020, a které bylo základem pro aktuálně platnou vyhlášku č. 443/2022 Sb.</w:t>
      </w:r>
    </w:p>
    <w:p w14:paraId="350BB5B4" w14:textId="77777777" w:rsidR="000E18AD" w:rsidRDefault="000E18AD" w:rsidP="000E18AD">
      <w:pPr>
        <w:keepNext/>
        <w:keepLines/>
      </w:pPr>
      <w:r>
        <w:t>Pro obě varianty výpočtu je možné vytvořit kalkulačku, která by operativně počítala, jaká výše sazby vzniká v závislosti na zadaném počtu hektarů.</w:t>
      </w:r>
    </w:p>
    <w:p w14:paraId="1D4681BA" w14:textId="77777777" w:rsidR="000E18AD" w:rsidRDefault="000E18AD" w:rsidP="000E18AD">
      <w:r>
        <w:rPr>
          <w:noProof/>
        </w:rPr>
        <mc:AlternateContent>
          <mc:Choice Requires="wps">
            <w:drawing>
              <wp:inline distT="0" distB="0" distL="114300" distR="114300" wp14:anchorId="4E5BD6AB" wp14:editId="344743BA">
                <wp:extent cx="476250" cy="276225"/>
                <wp:effectExtent l="0" t="0" r="0" b="0"/>
                <wp:docPr id="7" name="Text Box 7"/>
                <wp:cNvGraphicFramePr/>
                <a:graphic xmlns:a="http://schemas.openxmlformats.org/drawingml/2006/main">
                  <a:graphicData uri="http://schemas.microsoft.com/office/word/2010/wordprocessingShape">
                    <wps:wsp>
                      <wps:cNvSpPr txBox="1"/>
                      <wps:spPr>
                        <a:xfrm>
                          <a:off x="0" y="0"/>
                          <a:ext cx="476250" cy="276225"/>
                        </a:xfrm>
                        <a:prstGeom prst="rect">
                          <a:avLst/>
                        </a:prstGeom>
                        <a:noFill/>
                        <a:ln w="6350">
                          <a:noFill/>
                        </a:ln>
                      </wps:spPr>
                      <wps:txbx>
                        <w:txbxContent>
                          <w:p w14:paraId="7C1A99D6" w14:textId="77777777" w:rsidR="000E18AD" w:rsidRPr="00307645" w:rsidRDefault="000E18AD" w:rsidP="000E18AD">
                            <w:pPr>
                              <w:spacing w:before="0" w:line="180" w:lineRule="atLeast"/>
                              <w:ind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5BD6AB" id="_x0000_t202" coordsize="21600,21600" o:spt="202" path="m,l,21600r21600,l21600,xe">
                <v:stroke joinstyle="miter"/>
                <v:path gradientshapeok="t" o:connecttype="rect"/>
              </v:shapetype>
              <v:shape id="Text Box 7" o:spid="_x0000_s1026" type="#_x0000_t202" style="width:3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" filled="f" stroked="f" strokeweight=".5pt">
                <v:textbox>
                  <w:txbxContent>
                    <w:p w14:paraId="7C1A99D6" w14:textId="77777777" w:rsidR="000E18AD" w:rsidRPr="00307645" w:rsidRDefault="000E18AD" w:rsidP="000E18AD">
                      <w:pPr>
                        <w:spacing w:before="0" w:line="180" w:lineRule="atLeast"/>
                        <w:ind w:firstLine="0"/>
                        <w:rPr>
                          <w:sz w:val="18"/>
                          <w:szCs w:val="18"/>
                        </w:rPr>
                      </w:pPr>
                    </w:p>
                  </w:txbxContent>
                </v:textbox>
                <w10:anchorlock/>
              </v:shape>
            </w:pict>
          </mc:Fallback>
        </mc:AlternateContent>
      </w:r>
    </w:p>
    <w:p w14:paraId="34EB6D0D" w14:textId="0E0F5027" w:rsidR="000E18AD" w:rsidRDefault="00BA2A9E" w:rsidP="000E18AD">
      <w:pPr>
        <w:keepNext/>
        <w:ind w:firstLine="0"/>
      </w:pPr>
      <w:r>
        <w:rPr>
          <w:noProof/>
        </w:rPr>
        <w:lastRenderedPageBreak/>
        <w:drawing>
          <wp:inline distT="0" distB="0" distL="0" distR="0" wp14:anchorId="7C8299FE" wp14:editId="00E2414B">
            <wp:extent cx="5760720" cy="35490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 - obrázek.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549015"/>
                    </a:xfrm>
                    <a:prstGeom prst="rect">
                      <a:avLst/>
                    </a:prstGeom>
                  </pic:spPr>
                </pic:pic>
              </a:graphicData>
            </a:graphic>
          </wp:inline>
        </w:drawing>
      </w:r>
    </w:p>
    <w:p w14:paraId="46C35334" w14:textId="1725AA6A" w:rsidR="000E18AD" w:rsidRDefault="000E18AD" w:rsidP="000E18AD">
      <w:pPr>
        <w:pStyle w:val="Titulek"/>
        <w:jc w:val="both"/>
      </w:pPr>
      <w:bookmarkStart w:id="77" w:name="_Ref144970453"/>
      <w:r>
        <w:t>Obr. </w:t>
      </w:r>
      <w:bookmarkEnd w:id="77"/>
      <w:r>
        <w:t>7</w:t>
      </w:r>
      <w:r w:rsidRPr="00107AF6">
        <w:t xml:space="preserve"> </w:t>
      </w:r>
      <w:r>
        <w:t>Rozdělení do dvou skupin dle výměry</w:t>
      </w:r>
      <w:r w:rsidR="00BA2A9E">
        <w:t xml:space="preserve"> (do 42 ha a nad 42 ha)</w:t>
      </w:r>
      <w:bookmarkStart w:id="78" w:name="_GoBack"/>
      <w:bookmarkEnd w:id="78"/>
    </w:p>
    <w:p w14:paraId="727CF56C" w14:textId="77777777" w:rsidR="000E18AD" w:rsidRPr="000E18AD" w:rsidRDefault="000E18AD" w:rsidP="000E18AD"/>
    <w:p w14:paraId="059569D9" w14:textId="6CC66C10" w:rsidR="001D1813" w:rsidRDefault="001D1813" w:rsidP="00D17980"/>
    <w:sectPr w:rsidR="001D1813">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98EE8" w14:textId="77777777" w:rsidR="00F41AB0" w:rsidRDefault="00F41AB0" w:rsidP="00616C5B">
      <w:pPr>
        <w:spacing w:before="0" w:line="240" w:lineRule="auto"/>
      </w:pPr>
      <w:r>
        <w:separator/>
      </w:r>
    </w:p>
  </w:endnote>
  <w:endnote w:type="continuationSeparator" w:id="0">
    <w:p w14:paraId="7857A463" w14:textId="77777777" w:rsidR="00F41AB0" w:rsidRDefault="00F41AB0" w:rsidP="00616C5B">
      <w:pPr>
        <w:spacing w:before="0" w:line="240" w:lineRule="auto"/>
      </w:pPr>
      <w:r>
        <w:continuationSeparator/>
      </w:r>
    </w:p>
  </w:endnote>
  <w:endnote w:type="continuationNotice" w:id="1">
    <w:p w14:paraId="22DD851C" w14:textId="77777777" w:rsidR="00F41AB0" w:rsidRDefault="00F41AB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Tahoma">
    <w:altName w:val="Verdan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65218"/>
      <w:docPartObj>
        <w:docPartGallery w:val="Page Numbers (Bottom of Page)"/>
        <w:docPartUnique/>
      </w:docPartObj>
    </w:sdtPr>
    <w:sdtEndPr/>
    <w:sdtContent>
      <w:p w14:paraId="1E3D91D8" w14:textId="76CFC523" w:rsidR="002371B3" w:rsidRDefault="002371B3">
        <w:pPr>
          <w:pStyle w:val="Zpat"/>
          <w:jc w:val="right"/>
        </w:pPr>
        <w:r>
          <w:fldChar w:fldCharType="begin"/>
        </w:r>
        <w:r>
          <w:instrText>PAGE   \* MERGEFORMAT</w:instrText>
        </w:r>
        <w:r>
          <w:fldChar w:fldCharType="separate"/>
        </w:r>
        <w:r w:rsidR="00AC0401">
          <w:rPr>
            <w:noProof/>
          </w:rPr>
          <w:t>19</w:t>
        </w:r>
        <w:r>
          <w:fldChar w:fldCharType="end"/>
        </w:r>
      </w:p>
    </w:sdtContent>
  </w:sdt>
  <w:p w14:paraId="77A4D0F6" w14:textId="77777777" w:rsidR="002371B3" w:rsidRDefault="002371B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373AE" w14:textId="77777777" w:rsidR="00F41AB0" w:rsidRDefault="00F41AB0" w:rsidP="00616C5B">
      <w:pPr>
        <w:spacing w:before="0" w:line="240" w:lineRule="auto"/>
      </w:pPr>
      <w:r>
        <w:separator/>
      </w:r>
    </w:p>
  </w:footnote>
  <w:footnote w:type="continuationSeparator" w:id="0">
    <w:p w14:paraId="1D6F13E9" w14:textId="77777777" w:rsidR="00F41AB0" w:rsidRDefault="00F41AB0" w:rsidP="00616C5B">
      <w:pPr>
        <w:spacing w:before="0" w:line="240" w:lineRule="auto"/>
      </w:pPr>
      <w:r>
        <w:continuationSeparator/>
      </w:r>
    </w:p>
  </w:footnote>
  <w:footnote w:type="continuationNotice" w:id="1">
    <w:p w14:paraId="5AB21E08" w14:textId="77777777" w:rsidR="00F41AB0" w:rsidRDefault="00F41AB0">
      <w:pPr>
        <w:spacing w:before="0" w:line="240" w:lineRule="auto"/>
      </w:pPr>
    </w:p>
  </w:footnote>
  <w:footnote w:id="2">
    <w:p w14:paraId="639AB381" w14:textId="77777777" w:rsidR="002371B3" w:rsidRPr="00297CEF" w:rsidRDefault="002371B3" w:rsidP="00616C5B">
      <w:pPr>
        <w:pStyle w:val="Textpoznpodarou"/>
        <w:rPr>
          <w:sz w:val="18"/>
          <w:szCs w:val="18"/>
        </w:rPr>
      </w:pPr>
      <w:r w:rsidRPr="00297CEF">
        <w:rPr>
          <w:rStyle w:val="Znakapoznpodarou"/>
          <w:sz w:val="18"/>
          <w:szCs w:val="18"/>
        </w:rPr>
        <w:footnoteRef/>
      </w:r>
      <w:r w:rsidRPr="00297CEF">
        <w:rPr>
          <w:sz w:val="18"/>
          <w:szCs w:val="18"/>
        </w:rPr>
        <w:t xml:space="preserve"> </w:t>
      </w:r>
      <w:r w:rsidRPr="00297CEF">
        <w:rPr>
          <w:sz w:val="18"/>
          <w:szCs w:val="18"/>
        </w:rPr>
        <w:tab/>
        <w:t>Každý respondent vyplňoval všechny části dotazníkového šetření, které provozuje. Celkem bylo položených otázek na hodinovou mzdu sedm, tj. každý respondent mohl uvést až 7 odpovědí</w:t>
      </w:r>
      <w:r w:rsidRPr="00DB7342">
        <w:rPr>
          <w:sz w:val="18"/>
          <w:szCs w:val="18"/>
        </w:rPr>
        <w:t xml:space="preserve"> </w:t>
      </w:r>
      <w:r>
        <w:rPr>
          <w:sz w:val="18"/>
          <w:szCs w:val="18"/>
        </w:rPr>
        <w:t>v závislosti na prováděných opatřeních či typech pastvy</w:t>
      </w:r>
      <w:r w:rsidRPr="00297CEF">
        <w:rPr>
          <w:sz w:val="18"/>
          <w:szCs w:val="18"/>
        </w:rPr>
        <w:t>.</w:t>
      </w:r>
    </w:p>
  </w:footnote>
  <w:footnote w:id="3">
    <w:p w14:paraId="40E54164" w14:textId="77777777" w:rsidR="002371B3" w:rsidRDefault="002371B3" w:rsidP="00616C5B">
      <w:pPr>
        <w:pStyle w:val="Textpoznpodarou"/>
      </w:pPr>
      <w:r>
        <w:rPr>
          <w:rStyle w:val="Znakapoznpodarou"/>
        </w:rPr>
        <w:footnoteRef/>
      </w:r>
      <w:r>
        <w:t xml:space="preserve"> </w:t>
      </w:r>
      <w:r>
        <w:tab/>
      </w:r>
      <w:r w:rsidRPr="00093D08">
        <w:rPr>
          <w:sz w:val="18"/>
          <w:szCs w:val="18"/>
        </w:rPr>
        <w:t>Respondenti uváděli pouze ovce a kozy ve věku nad 1 rok z důvodu přepočtu na VDJ. Počet zvířat tedy nezahrnuje jehňata a kůzlata.</w:t>
      </w:r>
    </w:p>
  </w:footnote>
  <w:footnote w:id="4">
    <w:p w14:paraId="360A77E3" w14:textId="77777777" w:rsidR="002371B3" w:rsidRPr="00E24C77" w:rsidRDefault="002371B3" w:rsidP="00616C5B">
      <w:pPr>
        <w:pStyle w:val="Textpoznpodarou"/>
        <w:rPr>
          <w:sz w:val="18"/>
          <w:szCs w:val="18"/>
        </w:rPr>
      </w:pPr>
      <w:r w:rsidRPr="00E24C77">
        <w:rPr>
          <w:rStyle w:val="Znakapoznpodarou"/>
          <w:sz w:val="18"/>
          <w:szCs w:val="18"/>
        </w:rPr>
        <w:footnoteRef/>
      </w:r>
      <w:r w:rsidRPr="00E24C77">
        <w:rPr>
          <w:sz w:val="18"/>
          <w:szCs w:val="18"/>
        </w:rPr>
        <w:t xml:space="preserve"> </w:t>
      </w:r>
      <w:r w:rsidRPr="00E24C77">
        <w:rPr>
          <w:sz w:val="18"/>
          <w:szCs w:val="18"/>
        </w:rPr>
        <w:tab/>
      </w:r>
      <w:r>
        <w:rPr>
          <w:sz w:val="18"/>
          <w:szCs w:val="18"/>
        </w:rPr>
        <w:t>Na využívání ovčáckého psa při pastvě odpovídali pouze respondenti s volnou pastvou. V případě, že respondenti tento typ pastvy neprovozují, počet ovčáckých psů u nich nebyl zjišťován.</w:t>
      </w:r>
    </w:p>
  </w:footnote>
  <w:footnote w:id="5">
    <w:p w14:paraId="4AA62225" w14:textId="09D4E001" w:rsidR="002371B3" w:rsidRPr="00A90129" w:rsidRDefault="002371B3" w:rsidP="00616C5B">
      <w:pPr>
        <w:pStyle w:val="Textpoznpodarou"/>
        <w:rPr>
          <w:sz w:val="18"/>
          <w:szCs w:val="18"/>
        </w:rPr>
      </w:pPr>
      <w:r w:rsidRPr="00A90129">
        <w:rPr>
          <w:rStyle w:val="Znakapoznpodarou"/>
          <w:sz w:val="18"/>
          <w:szCs w:val="18"/>
        </w:rPr>
        <w:footnoteRef/>
      </w:r>
      <w:r w:rsidRPr="00A90129">
        <w:rPr>
          <w:sz w:val="18"/>
          <w:szCs w:val="18"/>
        </w:rPr>
        <w:t xml:space="preserve"> </w:t>
      </w:r>
      <w:r w:rsidRPr="00A90129">
        <w:rPr>
          <w:sz w:val="18"/>
          <w:szCs w:val="18"/>
        </w:rPr>
        <w:tab/>
        <w:t xml:space="preserve">Dalších 5 subjektů přítomnost pastevce uvedlo, ale jedná se o respondenty, kteří </w:t>
      </w:r>
      <w:r>
        <w:rPr>
          <w:sz w:val="18"/>
          <w:szCs w:val="18"/>
        </w:rPr>
        <w:t>kombinují</w:t>
      </w:r>
      <w:r w:rsidRPr="00A90129">
        <w:rPr>
          <w:sz w:val="18"/>
          <w:szCs w:val="18"/>
        </w:rPr>
        <w:t xml:space="preserve"> pastvu s oplocením </w:t>
      </w:r>
      <w:r>
        <w:rPr>
          <w:sz w:val="18"/>
          <w:szCs w:val="18"/>
        </w:rPr>
        <w:t>s </w:t>
      </w:r>
      <w:r w:rsidRPr="00A90129">
        <w:rPr>
          <w:sz w:val="18"/>
          <w:szCs w:val="18"/>
        </w:rPr>
        <w:t>pastv</w:t>
      </w:r>
      <w:r>
        <w:rPr>
          <w:sz w:val="18"/>
          <w:szCs w:val="18"/>
        </w:rPr>
        <w:t>o</w:t>
      </w:r>
      <w:r w:rsidRPr="00A90129">
        <w:rPr>
          <w:sz w:val="18"/>
          <w:szCs w:val="18"/>
        </w:rPr>
        <w:t xml:space="preserve">u volnou. Pastevec proto </w:t>
      </w:r>
      <w:r>
        <w:rPr>
          <w:sz w:val="18"/>
          <w:szCs w:val="18"/>
        </w:rPr>
        <w:t>u pastvy s oplocením není započítán</w:t>
      </w:r>
      <w:r w:rsidRPr="00A90129">
        <w:rPr>
          <w:sz w:val="18"/>
          <w:szCs w:val="18"/>
        </w:rPr>
        <w:t>.</w:t>
      </w:r>
    </w:p>
  </w:footnote>
  <w:footnote w:id="6">
    <w:p w14:paraId="6278C7BF" w14:textId="254EB834" w:rsidR="002371B3" w:rsidRPr="00EB35FD" w:rsidRDefault="002371B3" w:rsidP="00616C5B">
      <w:pPr>
        <w:pStyle w:val="Textpoznpodarou"/>
        <w:rPr>
          <w:sz w:val="18"/>
          <w:szCs w:val="18"/>
        </w:rPr>
      </w:pPr>
      <w:r w:rsidRPr="00EB35FD">
        <w:rPr>
          <w:rStyle w:val="Znakapoznpodarou"/>
          <w:sz w:val="18"/>
          <w:szCs w:val="18"/>
        </w:rPr>
        <w:footnoteRef/>
      </w:r>
      <w:r w:rsidRPr="00EB35FD">
        <w:rPr>
          <w:sz w:val="18"/>
          <w:szCs w:val="18"/>
        </w:rPr>
        <w:t xml:space="preserve"> </w:t>
      </w:r>
      <w:r w:rsidRPr="00EB35FD">
        <w:rPr>
          <w:sz w:val="18"/>
          <w:szCs w:val="18"/>
        </w:rPr>
        <w:tab/>
      </w:r>
      <w:r>
        <w:rPr>
          <w:sz w:val="18"/>
          <w:szCs w:val="18"/>
        </w:rPr>
        <w:t>Celkem čtyři respondenti byli vyloučeni z důvodu evidentně chybných údajů (např. časová náročnost ve výši několika tisíc hodin denně), které vyplnili u některých opatření a nebylo tak možné u nich vypočítat sumu veškerých nákladů.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97CC9"/>
    <w:multiLevelType w:val="hybridMultilevel"/>
    <w:tmpl w:val="ECB6C51A"/>
    <w:lvl w:ilvl="0" w:tplc="0405000B">
      <w:start w:val="1"/>
      <w:numFmt w:val="bullet"/>
      <w:lvlText w:val=""/>
      <w:lvlJc w:val="left"/>
      <w:pPr>
        <w:ind w:left="927" w:hanging="360"/>
      </w:pPr>
      <w:rPr>
        <w:rFonts w:ascii="Wingdings" w:hAnsi="Wingdings"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 w15:restartNumberingAfterBreak="0">
    <w:nsid w:val="0F8F231E"/>
    <w:multiLevelType w:val="hybridMultilevel"/>
    <w:tmpl w:val="43E04034"/>
    <w:lvl w:ilvl="0" w:tplc="F662A318">
      <w:start w:val="393"/>
      <w:numFmt w:val="bullet"/>
      <w:lvlText w:val="-"/>
      <w:lvlJc w:val="left"/>
      <w:pPr>
        <w:ind w:left="927" w:hanging="360"/>
      </w:pPr>
      <w:rPr>
        <w:rFonts w:ascii="Arial" w:eastAsia="Times New Roman" w:hAnsi="Arial" w:cs="Aria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 w15:restartNumberingAfterBreak="0">
    <w:nsid w:val="128230C7"/>
    <w:multiLevelType w:val="multilevel"/>
    <w:tmpl w:val="11E6215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 w15:restartNumberingAfterBreak="0">
    <w:nsid w:val="194F110D"/>
    <w:multiLevelType w:val="hybridMultilevel"/>
    <w:tmpl w:val="8996A2A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20855823"/>
    <w:multiLevelType w:val="hybridMultilevel"/>
    <w:tmpl w:val="F564AAAC"/>
    <w:lvl w:ilvl="0" w:tplc="47B45650">
      <w:start w:val="17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72C05D5"/>
    <w:multiLevelType w:val="hybridMultilevel"/>
    <w:tmpl w:val="B7688AB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874605"/>
    <w:multiLevelType w:val="hybridMultilevel"/>
    <w:tmpl w:val="066E0398"/>
    <w:lvl w:ilvl="0" w:tplc="C09C9282">
      <w:numFmt w:val="bullet"/>
      <w:lvlText w:val=""/>
      <w:lvlJc w:val="left"/>
      <w:pPr>
        <w:ind w:left="927" w:hanging="360"/>
      </w:pPr>
      <w:rPr>
        <w:rFonts w:ascii="Wingdings" w:eastAsia="Times New Roman" w:hAnsi="Wingdings"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7" w15:restartNumberingAfterBreak="0">
    <w:nsid w:val="2C55684A"/>
    <w:multiLevelType w:val="multilevel"/>
    <w:tmpl w:val="B11E7FA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2DB41B88"/>
    <w:multiLevelType w:val="hybridMultilevel"/>
    <w:tmpl w:val="4852FA92"/>
    <w:lvl w:ilvl="0" w:tplc="31F83EC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15:restartNumberingAfterBreak="0">
    <w:nsid w:val="32FC34FF"/>
    <w:multiLevelType w:val="singleLevel"/>
    <w:tmpl w:val="0F2A26C8"/>
    <w:lvl w:ilvl="0">
      <w:start w:val="1"/>
      <w:numFmt w:val="bullet"/>
      <w:pStyle w:val="vet3"/>
      <w:lvlText w:val=""/>
      <w:lvlJc w:val="left"/>
      <w:pPr>
        <w:tabs>
          <w:tab w:val="num" w:pos="1211"/>
        </w:tabs>
        <w:ind w:left="1134" w:hanging="283"/>
      </w:pPr>
      <w:rPr>
        <w:rFonts w:ascii="Symbol" w:hAnsi="Symbol" w:hint="default"/>
      </w:rPr>
    </w:lvl>
  </w:abstractNum>
  <w:abstractNum w:abstractNumId="10" w15:restartNumberingAfterBreak="0">
    <w:nsid w:val="369D53C3"/>
    <w:multiLevelType w:val="hybridMultilevel"/>
    <w:tmpl w:val="74C87DE8"/>
    <w:lvl w:ilvl="0" w:tplc="A732C4F4">
      <w:start w:val="12"/>
      <w:numFmt w:val="bullet"/>
      <w:lvlText w:val="-"/>
      <w:lvlJc w:val="left"/>
      <w:pPr>
        <w:ind w:left="1080" w:hanging="360"/>
      </w:pPr>
      <w:rPr>
        <w:rFonts w:ascii="Segoe UI" w:eastAsia="Times New Roman" w:hAnsi="Segoe UI" w:cs="Segoe U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A5B72C4"/>
    <w:multiLevelType w:val="singleLevel"/>
    <w:tmpl w:val="125CA0C6"/>
    <w:lvl w:ilvl="0">
      <w:start w:val="1"/>
      <w:numFmt w:val="bullet"/>
      <w:pStyle w:val="vet4"/>
      <w:lvlText w:val=""/>
      <w:lvlJc w:val="left"/>
      <w:pPr>
        <w:tabs>
          <w:tab w:val="num" w:pos="1494"/>
        </w:tabs>
        <w:ind w:left="1418" w:hanging="284"/>
      </w:pPr>
      <w:rPr>
        <w:rFonts w:ascii="Symbol" w:hAnsi="Symbol" w:hint="default"/>
      </w:rPr>
    </w:lvl>
  </w:abstractNum>
  <w:abstractNum w:abstractNumId="12" w15:restartNumberingAfterBreak="0">
    <w:nsid w:val="3E9F1E5D"/>
    <w:multiLevelType w:val="hybridMultilevel"/>
    <w:tmpl w:val="1C461DF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0280E48"/>
    <w:multiLevelType w:val="hybridMultilevel"/>
    <w:tmpl w:val="7B9A353E"/>
    <w:lvl w:ilvl="0" w:tplc="ED962608">
      <w:start w:val="1"/>
      <w:numFmt w:val="bullet"/>
      <w:pStyle w:val="tab-vet1"/>
      <w:lvlText w:val=""/>
      <w:lvlJc w:val="left"/>
      <w:pPr>
        <w:ind w:left="720" w:hanging="360"/>
      </w:pPr>
      <w:rPr>
        <w:rFonts w:ascii="Symbol" w:hAnsi="Symbol" w:hint="default"/>
        <w:i w:val="0"/>
        <w:iCs w:val="0"/>
        <w:caps w:val="0"/>
        <w:strike w:val="0"/>
        <w:dstrike w:val="0"/>
        <w:vanish w:val="0"/>
        <w:color w:val="000000"/>
        <w:spacing w:val="0"/>
        <w:kern w:val="0"/>
        <w:position w:val="0"/>
        <w:sz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6211166"/>
    <w:multiLevelType w:val="hybridMultilevel"/>
    <w:tmpl w:val="55007B9C"/>
    <w:lvl w:ilvl="0" w:tplc="FC3C2DF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15:restartNumberingAfterBreak="0">
    <w:nsid w:val="498235CB"/>
    <w:multiLevelType w:val="hybridMultilevel"/>
    <w:tmpl w:val="F2E02A2A"/>
    <w:lvl w:ilvl="0" w:tplc="29E6D744">
      <w:start w:val="1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E35633"/>
    <w:multiLevelType w:val="hybridMultilevel"/>
    <w:tmpl w:val="4B9ACF94"/>
    <w:lvl w:ilvl="0" w:tplc="CFEC3030">
      <w:start w:val="1"/>
      <w:numFmt w:val="lowerLetter"/>
      <w:pStyle w:val="vetapsmeno"/>
      <w:lvlText w:val="%1)"/>
      <w:lvlJc w:val="left"/>
      <w:pPr>
        <w:tabs>
          <w:tab w:val="num" w:pos="567"/>
        </w:tabs>
        <w:ind w:left="567" w:hanging="567"/>
      </w:pPr>
      <w:rPr>
        <w:rFonts w:hint="default"/>
        <w:color w:val="auto"/>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816D39"/>
    <w:multiLevelType w:val="hybridMultilevel"/>
    <w:tmpl w:val="4F18D294"/>
    <w:lvl w:ilvl="0" w:tplc="3294D20C">
      <w:start w:val="1"/>
      <w:numFmt w:val="lowerLetter"/>
      <w:pStyle w:val="veta-I"/>
      <w:lvlText w:val="%1)"/>
      <w:lvlJc w:val="left"/>
      <w:pPr>
        <w:ind w:left="720" w:hanging="360"/>
      </w:pPr>
      <w:rPr>
        <w:rFonts w:ascii="Times New Roman" w:hAnsi="Times New Roman" w:hint="default"/>
        <w:b w:val="0"/>
        <w:i/>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2CD5796"/>
    <w:multiLevelType w:val="hybridMultilevel"/>
    <w:tmpl w:val="B9B26852"/>
    <w:lvl w:ilvl="0" w:tplc="04050001">
      <w:start w:val="1"/>
      <w:numFmt w:val="bullet"/>
      <w:lvlText w:val=""/>
      <w:lvlJc w:val="left"/>
      <w:pPr>
        <w:ind w:left="1350" w:hanging="360"/>
      </w:pPr>
      <w:rPr>
        <w:rFonts w:ascii="Symbol" w:hAnsi="Symbol"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19" w15:restartNumberingAfterBreak="0">
    <w:nsid w:val="58207CB4"/>
    <w:multiLevelType w:val="hybridMultilevel"/>
    <w:tmpl w:val="C7AE01B0"/>
    <w:lvl w:ilvl="0" w:tplc="83586EE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15:restartNumberingAfterBreak="0">
    <w:nsid w:val="5DB47ECB"/>
    <w:multiLevelType w:val="hybridMultilevel"/>
    <w:tmpl w:val="88A82A1E"/>
    <w:lvl w:ilvl="0" w:tplc="FC168882">
      <w:start w:val="1"/>
      <w:numFmt w:val="lowerLetter"/>
      <w:lvlText w:val="%1)"/>
      <w:lvlJc w:val="left"/>
      <w:pPr>
        <w:ind w:left="690" w:hanging="57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21" w15:restartNumberingAfterBreak="0">
    <w:nsid w:val="640B3C60"/>
    <w:multiLevelType w:val="hybridMultilevel"/>
    <w:tmpl w:val="55007B9C"/>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2" w15:restartNumberingAfterBreak="0">
    <w:nsid w:val="698F62BF"/>
    <w:multiLevelType w:val="hybridMultilevel"/>
    <w:tmpl w:val="9AE4A8C8"/>
    <w:lvl w:ilvl="0" w:tplc="2AA2DD12">
      <w:numFmt w:val="bullet"/>
      <w:lvlText w:val=""/>
      <w:lvlJc w:val="left"/>
      <w:pPr>
        <w:ind w:left="927" w:hanging="360"/>
      </w:pPr>
      <w:rPr>
        <w:rFonts w:ascii="Wingdings" w:eastAsia="Times New Roman" w:hAnsi="Wingdings"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3" w15:restartNumberingAfterBreak="0">
    <w:nsid w:val="699553A3"/>
    <w:multiLevelType w:val="hybridMultilevel"/>
    <w:tmpl w:val="9DA2DDE4"/>
    <w:lvl w:ilvl="0" w:tplc="ADE6E6BA">
      <w:start w:val="1"/>
      <w:numFmt w:val="bullet"/>
      <w:pStyle w:val="vet2"/>
      <w:lvlText w:val=""/>
      <w:lvlJc w:val="left"/>
      <w:pPr>
        <w:tabs>
          <w:tab w:val="num" w:pos="927"/>
        </w:tabs>
        <w:ind w:left="851"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5C2BAF"/>
    <w:multiLevelType w:val="hybridMultilevel"/>
    <w:tmpl w:val="94700F8A"/>
    <w:lvl w:ilvl="0" w:tplc="0405000F">
      <w:start w:val="1"/>
      <w:numFmt w:val="decimal"/>
      <w:lvlText w:val="%1."/>
      <w:lvlJc w:val="left"/>
      <w:pPr>
        <w:ind w:left="1069" w:hanging="360"/>
      </w:pPr>
      <w:rPr>
        <w:rFonts w:hint="default"/>
        <w:b/>
      </w:rPr>
    </w:lvl>
    <w:lvl w:ilvl="1" w:tplc="04050019">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15:restartNumberingAfterBreak="0">
    <w:nsid w:val="706B13DC"/>
    <w:multiLevelType w:val="hybridMultilevel"/>
    <w:tmpl w:val="2F1E06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75690CC6"/>
    <w:multiLevelType w:val="hybridMultilevel"/>
    <w:tmpl w:val="FF30735A"/>
    <w:lvl w:ilvl="0" w:tplc="A5DC6C60">
      <w:start w:val="1"/>
      <w:numFmt w:val="decimal"/>
      <w:pStyle w:val="vet1slo"/>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78745BC0"/>
    <w:multiLevelType w:val="singleLevel"/>
    <w:tmpl w:val="AD20111C"/>
    <w:lvl w:ilvl="0">
      <w:start w:val="1"/>
      <w:numFmt w:val="bullet"/>
      <w:pStyle w:val="vet1"/>
      <w:lvlText w:val=""/>
      <w:lvlJc w:val="left"/>
      <w:pPr>
        <w:tabs>
          <w:tab w:val="num" w:pos="567"/>
        </w:tabs>
        <w:ind w:left="567" w:hanging="567"/>
      </w:pPr>
      <w:rPr>
        <w:rFonts w:ascii="Symbol" w:hAnsi="Symbol" w:hint="default"/>
      </w:rPr>
    </w:lvl>
  </w:abstractNum>
  <w:abstractNum w:abstractNumId="28" w15:restartNumberingAfterBreak="0">
    <w:nsid w:val="796F6BAC"/>
    <w:multiLevelType w:val="hybridMultilevel"/>
    <w:tmpl w:val="F7B8EA52"/>
    <w:lvl w:ilvl="0" w:tplc="27D0C5D4">
      <w:numFmt w:val="bullet"/>
      <w:lvlText w:val=""/>
      <w:lvlJc w:val="left"/>
      <w:pPr>
        <w:ind w:left="1287" w:hanging="360"/>
      </w:pPr>
      <w:rPr>
        <w:rFonts w:ascii="Wingdings" w:eastAsia="Times New Roman" w:hAnsi="Wingdings"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15:restartNumberingAfterBreak="0">
    <w:nsid w:val="7DD100A1"/>
    <w:multiLevelType w:val="hybridMultilevel"/>
    <w:tmpl w:val="B9E4E02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17"/>
  </w:num>
  <w:num w:numId="2">
    <w:abstractNumId w:val="26"/>
  </w:num>
  <w:num w:numId="3">
    <w:abstractNumId w:val="16"/>
  </w:num>
  <w:num w:numId="4">
    <w:abstractNumId w:val="13"/>
  </w:num>
  <w:num w:numId="5">
    <w:abstractNumId w:val="27"/>
  </w:num>
  <w:num w:numId="6">
    <w:abstractNumId w:val="23"/>
  </w:num>
  <w:num w:numId="7">
    <w:abstractNumId w:val="9"/>
  </w:num>
  <w:num w:numId="8">
    <w:abstractNumId w:val="11"/>
  </w:num>
  <w:num w:numId="9">
    <w:abstractNumId w:val="20"/>
  </w:num>
  <w:num w:numId="10">
    <w:abstractNumId w:val="14"/>
  </w:num>
  <w:num w:numId="11">
    <w:abstractNumId w:val="7"/>
  </w:num>
  <w:num w:numId="12">
    <w:abstractNumId w:val="21"/>
  </w:num>
  <w:num w:numId="13">
    <w:abstractNumId w:val="19"/>
  </w:num>
  <w:num w:numId="14">
    <w:abstractNumId w:val="5"/>
  </w:num>
  <w:num w:numId="15">
    <w:abstractNumId w:val="12"/>
  </w:num>
  <w:num w:numId="16">
    <w:abstractNumId w:val="10"/>
  </w:num>
  <w:num w:numId="17">
    <w:abstractNumId w:val="29"/>
  </w:num>
  <w:num w:numId="18">
    <w:abstractNumId w:val="25"/>
  </w:num>
  <w:num w:numId="19">
    <w:abstractNumId w:val="2"/>
  </w:num>
  <w:num w:numId="20">
    <w:abstractNumId w:val="15"/>
  </w:num>
  <w:num w:numId="21">
    <w:abstractNumId w:val="4"/>
  </w:num>
  <w:num w:numId="22">
    <w:abstractNumId w:val="8"/>
  </w:num>
  <w:num w:numId="23">
    <w:abstractNumId w:val="1"/>
  </w:num>
  <w:num w:numId="24">
    <w:abstractNumId w:val="22"/>
  </w:num>
  <w:num w:numId="25">
    <w:abstractNumId w:val="28"/>
  </w:num>
  <w:num w:numId="26">
    <w:abstractNumId w:val="6"/>
  </w:num>
  <w:num w:numId="27">
    <w:abstractNumId w:val="24"/>
  </w:num>
  <w:num w:numId="28">
    <w:abstractNumId w:val="18"/>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C5B"/>
    <w:rsid w:val="00002F04"/>
    <w:rsid w:val="000121FD"/>
    <w:rsid w:val="00032370"/>
    <w:rsid w:val="0003481B"/>
    <w:rsid w:val="00037D65"/>
    <w:rsid w:val="000417B5"/>
    <w:rsid w:val="00054ABB"/>
    <w:rsid w:val="00057B6F"/>
    <w:rsid w:val="00062493"/>
    <w:rsid w:val="000641EB"/>
    <w:rsid w:val="00067594"/>
    <w:rsid w:val="00070F05"/>
    <w:rsid w:val="000766E0"/>
    <w:rsid w:val="0008028D"/>
    <w:rsid w:val="00080E97"/>
    <w:rsid w:val="000837D3"/>
    <w:rsid w:val="00085009"/>
    <w:rsid w:val="00085DBD"/>
    <w:rsid w:val="000A1BAB"/>
    <w:rsid w:val="000A2D58"/>
    <w:rsid w:val="000A6567"/>
    <w:rsid w:val="000C1568"/>
    <w:rsid w:val="000D2027"/>
    <w:rsid w:val="000D7130"/>
    <w:rsid w:val="000D7580"/>
    <w:rsid w:val="000E03A6"/>
    <w:rsid w:val="000E18AD"/>
    <w:rsid w:val="000E57AA"/>
    <w:rsid w:val="000F171C"/>
    <w:rsid w:val="000F70AC"/>
    <w:rsid w:val="001165F9"/>
    <w:rsid w:val="001200E0"/>
    <w:rsid w:val="00123045"/>
    <w:rsid w:val="00123EFE"/>
    <w:rsid w:val="00124A4F"/>
    <w:rsid w:val="00130EC9"/>
    <w:rsid w:val="00142E5B"/>
    <w:rsid w:val="00161F28"/>
    <w:rsid w:val="001645D3"/>
    <w:rsid w:val="00170622"/>
    <w:rsid w:val="0017188B"/>
    <w:rsid w:val="001730F4"/>
    <w:rsid w:val="00181D5B"/>
    <w:rsid w:val="00190D26"/>
    <w:rsid w:val="00197DEC"/>
    <w:rsid w:val="001A204A"/>
    <w:rsid w:val="001B1859"/>
    <w:rsid w:val="001D10FF"/>
    <w:rsid w:val="001D1813"/>
    <w:rsid w:val="001E1BCF"/>
    <w:rsid w:val="001E305B"/>
    <w:rsid w:val="001E4B7C"/>
    <w:rsid w:val="001F472D"/>
    <w:rsid w:val="00205958"/>
    <w:rsid w:val="00207B0D"/>
    <w:rsid w:val="002109A4"/>
    <w:rsid w:val="00214B7F"/>
    <w:rsid w:val="0021657D"/>
    <w:rsid w:val="0021687D"/>
    <w:rsid w:val="002250F6"/>
    <w:rsid w:val="00226637"/>
    <w:rsid w:val="00227915"/>
    <w:rsid w:val="002371B3"/>
    <w:rsid w:val="0024051D"/>
    <w:rsid w:val="00241DE7"/>
    <w:rsid w:val="00246F36"/>
    <w:rsid w:val="00251974"/>
    <w:rsid w:val="002734C7"/>
    <w:rsid w:val="00275301"/>
    <w:rsid w:val="00276723"/>
    <w:rsid w:val="002924CF"/>
    <w:rsid w:val="002959B5"/>
    <w:rsid w:val="00297693"/>
    <w:rsid w:val="002A1A51"/>
    <w:rsid w:val="002A1FAD"/>
    <w:rsid w:val="002A75DF"/>
    <w:rsid w:val="002B5F8B"/>
    <w:rsid w:val="002C1E8C"/>
    <w:rsid w:val="002C2435"/>
    <w:rsid w:val="002C598B"/>
    <w:rsid w:val="002C6770"/>
    <w:rsid w:val="002D3987"/>
    <w:rsid w:val="002D6E82"/>
    <w:rsid w:val="00300CD1"/>
    <w:rsid w:val="00302601"/>
    <w:rsid w:val="00306445"/>
    <w:rsid w:val="0031305C"/>
    <w:rsid w:val="003373FA"/>
    <w:rsid w:val="003376F3"/>
    <w:rsid w:val="003448C1"/>
    <w:rsid w:val="00344C06"/>
    <w:rsid w:val="003572EE"/>
    <w:rsid w:val="003759DC"/>
    <w:rsid w:val="00376055"/>
    <w:rsid w:val="003815AA"/>
    <w:rsid w:val="00383676"/>
    <w:rsid w:val="00383ABE"/>
    <w:rsid w:val="00391DDC"/>
    <w:rsid w:val="003926CA"/>
    <w:rsid w:val="00394729"/>
    <w:rsid w:val="0039574A"/>
    <w:rsid w:val="0039757D"/>
    <w:rsid w:val="003A3369"/>
    <w:rsid w:val="003C12B0"/>
    <w:rsid w:val="003C28B7"/>
    <w:rsid w:val="003C5218"/>
    <w:rsid w:val="003C64F6"/>
    <w:rsid w:val="003E3FF5"/>
    <w:rsid w:val="003F04C0"/>
    <w:rsid w:val="003F0994"/>
    <w:rsid w:val="003F37B6"/>
    <w:rsid w:val="00404370"/>
    <w:rsid w:val="00406043"/>
    <w:rsid w:val="00407EF9"/>
    <w:rsid w:val="00413762"/>
    <w:rsid w:val="00413A2B"/>
    <w:rsid w:val="00414197"/>
    <w:rsid w:val="004227B4"/>
    <w:rsid w:val="004374E5"/>
    <w:rsid w:val="0043798B"/>
    <w:rsid w:val="00437E9D"/>
    <w:rsid w:val="00446D32"/>
    <w:rsid w:val="004611DF"/>
    <w:rsid w:val="00473131"/>
    <w:rsid w:val="00486DB8"/>
    <w:rsid w:val="004900B1"/>
    <w:rsid w:val="00492E1D"/>
    <w:rsid w:val="004A0107"/>
    <w:rsid w:val="004A0AB9"/>
    <w:rsid w:val="004A5A7C"/>
    <w:rsid w:val="004B01FA"/>
    <w:rsid w:val="004B519F"/>
    <w:rsid w:val="004C0B9F"/>
    <w:rsid w:val="004C6768"/>
    <w:rsid w:val="004D6F22"/>
    <w:rsid w:val="004E2EB8"/>
    <w:rsid w:val="004F05B2"/>
    <w:rsid w:val="004F1A7E"/>
    <w:rsid w:val="004F1B06"/>
    <w:rsid w:val="004F1BC4"/>
    <w:rsid w:val="00512EF3"/>
    <w:rsid w:val="0051761C"/>
    <w:rsid w:val="0052108F"/>
    <w:rsid w:val="005220A9"/>
    <w:rsid w:val="0052235D"/>
    <w:rsid w:val="005378F4"/>
    <w:rsid w:val="00540692"/>
    <w:rsid w:val="005431F6"/>
    <w:rsid w:val="00554B08"/>
    <w:rsid w:val="0057213D"/>
    <w:rsid w:val="00582591"/>
    <w:rsid w:val="005876CF"/>
    <w:rsid w:val="00590C4F"/>
    <w:rsid w:val="00592D8F"/>
    <w:rsid w:val="00597844"/>
    <w:rsid w:val="005A204E"/>
    <w:rsid w:val="005C080C"/>
    <w:rsid w:val="005D0A0B"/>
    <w:rsid w:val="005D39F8"/>
    <w:rsid w:val="005D4A37"/>
    <w:rsid w:val="005E29E1"/>
    <w:rsid w:val="005E5948"/>
    <w:rsid w:val="005F0721"/>
    <w:rsid w:val="0061283C"/>
    <w:rsid w:val="00614EBC"/>
    <w:rsid w:val="00616C5B"/>
    <w:rsid w:val="00623CA8"/>
    <w:rsid w:val="006342E8"/>
    <w:rsid w:val="00634BCC"/>
    <w:rsid w:val="00635891"/>
    <w:rsid w:val="006404F5"/>
    <w:rsid w:val="00645CAE"/>
    <w:rsid w:val="006604A9"/>
    <w:rsid w:val="00663C53"/>
    <w:rsid w:val="00672A1C"/>
    <w:rsid w:val="00680AFB"/>
    <w:rsid w:val="00693730"/>
    <w:rsid w:val="0069434C"/>
    <w:rsid w:val="00697E7A"/>
    <w:rsid w:val="006A367E"/>
    <w:rsid w:val="006B2C87"/>
    <w:rsid w:val="006B464B"/>
    <w:rsid w:val="006B543E"/>
    <w:rsid w:val="006C1552"/>
    <w:rsid w:val="006D0CFB"/>
    <w:rsid w:val="006E7719"/>
    <w:rsid w:val="006F61DB"/>
    <w:rsid w:val="006F6443"/>
    <w:rsid w:val="00707C7C"/>
    <w:rsid w:val="007125E3"/>
    <w:rsid w:val="007163DF"/>
    <w:rsid w:val="00722674"/>
    <w:rsid w:val="00725A9D"/>
    <w:rsid w:val="00735AED"/>
    <w:rsid w:val="00745F7C"/>
    <w:rsid w:val="00753663"/>
    <w:rsid w:val="00755F2E"/>
    <w:rsid w:val="007565C9"/>
    <w:rsid w:val="00762C04"/>
    <w:rsid w:val="00765818"/>
    <w:rsid w:val="007719F2"/>
    <w:rsid w:val="007917F9"/>
    <w:rsid w:val="00793464"/>
    <w:rsid w:val="00796973"/>
    <w:rsid w:val="007A1DAE"/>
    <w:rsid w:val="007B5046"/>
    <w:rsid w:val="007C08D1"/>
    <w:rsid w:val="007C2E96"/>
    <w:rsid w:val="007C305E"/>
    <w:rsid w:val="007D2A8B"/>
    <w:rsid w:val="007D3C64"/>
    <w:rsid w:val="0081156E"/>
    <w:rsid w:val="0081799D"/>
    <w:rsid w:val="00820FD5"/>
    <w:rsid w:val="00830287"/>
    <w:rsid w:val="00836B16"/>
    <w:rsid w:val="008473AF"/>
    <w:rsid w:val="00850D1C"/>
    <w:rsid w:val="0085136E"/>
    <w:rsid w:val="00861C9B"/>
    <w:rsid w:val="008676C5"/>
    <w:rsid w:val="00882864"/>
    <w:rsid w:val="00893C82"/>
    <w:rsid w:val="00895FEB"/>
    <w:rsid w:val="008A3142"/>
    <w:rsid w:val="008C11A1"/>
    <w:rsid w:val="008C3D41"/>
    <w:rsid w:val="008D68EE"/>
    <w:rsid w:val="008D6FDA"/>
    <w:rsid w:val="008E738B"/>
    <w:rsid w:val="008F082E"/>
    <w:rsid w:val="008F3E2D"/>
    <w:rsid w:val="008F48A3"/>
    <w:rsid w:val="0091341E"/>
    <w:rsid w:val="00915554"/>
    <w:rsid w:val="00916829"/>
    <w:rsid w:val="0092498E"/>
    <w:rsid w:val="00941A9D"/>
    <w:rsid w:val="00947F9F"/>
    <w:rsid w:val="009517FE"/>
    <w:rsid w:val="00957E12"/>
    <w:rsid w:val="00965220"/>
    <w:rsid w:val="009776CD"/>
    <w:rsid w:val="00982A53"/>
    <w:rsid w:val="009836D9"/>
    <w:rsid w:val="00985908"/>
    <w:rsid w:val="009952B5"/>
    <w:rsid w:val="00995552"/>
    <w:rsid w:val="0099719E"/>
    <w:rsid w:val="009A2E86"/>
    <w:rsid w:val="009A37B2"/>
    <w:rsid w:val="009A742D"/>
    <w:rsid w:val="009B4937"/>
    <w:rsid w:val="009B699F"/>
    <w:rsid w:val="009C0090"/>
    <w:rsid w:val="009C20EC"/>
    <w:rsid w:val="009C5F19"/>
    <w:rsid w:val="009C66AD"/>
    <w:rsid w:val="009D15FE"/>
    <w:rsid w:val="009D368D"/>
    <w:rsid w:val="009D56B1"/>
    <w:rsid w:val="009E2D65"/>
    <w:rsid w:val="009E5560"/>
    <w:rsid w:val="009F3601"/>
    <w:rsid w:val="009F502D"/>
    <w:rsid w:val="00A0488D"/>
    <w:rsid w:val="00A04F76"/>
    <w:rsid w:val="00A119DE"/>
    <w:rsid w:val="00A140D4"/>
    <w:rsid w:val="00A1610F"/>
    <w:rsid w:val="00A17294"/>
    <w:rsid w:val="00A17FDB"/>
    <w:rsid w:val="00A23794"/>
    <w:rsid w:val="00A34AE9"/>
    <w:rsid w:val="00A3502A"/>
    <w:rsid w:val="00A371CB"/>
    <w:rsid w:val="00A45951"/>
    <w:rsid w:val="00A56492"/>
    <w:rsid w:val="00A64C66"/>
    <w:rsid w:val="00A659BF"/>
    <w:rsid w:val="00A67400"/>
    <w:rsid w:val="00A7519D"/>
    <w:rsid w:val="00A925F2"/>
    <w:rsid w:val="00A9786B"/>
    <w:rsid w:val="00AB7F8E"/>
    <w:rsid w:val="00AC0401"/>
    <w:rsid w:val="00AC308D"/>
    <w:rsid w:val="00AD77B0"/>
    <w:rsid w:val="00B00183"/>
    <w:rsid w:val="00B04DF3"/>
    <w:rsid w:val="00B220A7"/>
    <w:rsid w:val="00B2493C"/>
    <w:rsid w:val="00B322F1"/>
    <w:rsid w:val="00B348E7"/>
    <w:rsid w:val="00B35014"/>
    <w:rsid w:val="00B44A9D"/>
    <w:rsid w:val="00B53B0D"/>
    <w:rsid w:val="00B60D39"/>
    <w:rsid w:val="00B6217B"/>
    <w:rsid w:val="00B637B2"/>
    <w:rsid w:val="00B63E90"/>
    <w:rsid w:val="00B66EE0"/>
    <w:rsid w:val="00B67CB3"/>
    <w:rsid w:val="00B701AA"/>
    <w:rsid w:val="00B7142D"/>
    <w:rsid w:val="00B854BD"/>
    <w:rsid w:val="00B8618C"/>
    <w:rsid w:val="00B947E1"/>
    <w:rsid w:val="00B947F1"/>
    <w:rsid w:val="00BA2A9E"/>
    <w:rsid w:val="00BA34F0"/>
    <w:rsid w:val="00BA4AFD"/>
    <w:rsid w:val="00BC05C3"/>
    <w:rsid w:val="00BC0B8D"/>
    <w:rsid w:val="00BC730D"/>
    <w:rsid w:val="00BD0C9E"/>
    <w:rsid w:val="00BD13F9"/>
    <w:rsid w:val="00BD4B3E"/>
    <w:rsid w:val="00BD5496"/>
    <w:rsid w:val="00BD5ACD"/>
    <w:rsid w:val="00BE1840"/>
    <w:rsid w:val="00BE6D29"/>
    <w:rsid w:val="00BF2E68"/>
    <w:rsid w:val="00BF69AC"/>
    <w:rsid w:val="00C161E5"/>
    <w:rsid w:val="00C22D97"/>
    <w:rsid w:val="00C30EE0"/>
    <w:rsid w:val="00C3262F"/>
    <w:rsid w:val="00C356BA"/>
    <w:rsid w:val="00C375D8"/>
    <w:rsid w:val="00C500DC"/>
    <w:rsid w:val="00C54A94"/>
    <w:rsid w:val="00C729A9"/>
    <w:rsid w:val="00C803A6"/>
    <w:rsid w:val="00C849C6"/>
    <w:rsid w:val="00CA0056"/>
    <w:rsid w:val="00CB3170"/>
    <w:rsid w:val="00CC0E94"/>
    <w:rsid w:val="00CC5736"/>
    <w:rsid w:val="00CC7F9A"/>
    <w:rsid w:val="00CD2337"/>
    <w:rsid w:val="00CE19FB"/>
    <w:rsid w:val="00CE2064"/>
    <w:rsid w:val="00CE7363"/>
    <w:rsid w:val="00CF1A38"/>
    <w:rsid w:val="00CF1D67"/>
    <w:rsid w:val="00CF44AA"/>
    <w:rsid w:val="00D07817"/>
    <w:rsid w:val="00D10884"/>
    <w:rsid w:val="00D1313F"/>
    <w:rsid w:val="00D13A96"/>
    <w:rsid w:val="00D13B9D"/>
    <w:rsid w:val="00D17980"/>
    <w:rsid w:val="00D2484E"/>
    <w:rsid w:val="00D26057"/>
    <w:rsid w:val="00D32F51"/>
    <w:rsid w:val="00D35C5D"/>
    <w:rsid w:val="00D61880"/>
    <w:rsid w:val="00D663D2"/>
    <w:rsid w:val="00D822AE"/>
    <w:rsid w:val="00D85284"/>
    <w:rsid w:val="00D8680A"/>
    <w:rsid w:val="00D97DF0"/>
    <w:rsid w:val="00DA5C4F"/>
    <w:rsid w:val="00DB6605"/>
    <w:rsid w:val="00DB72BE"/>
    <w:rsid w:val="00DB763B"/>
    <w:rsid w:val="00DD569E"/>
    <w:rsid w:val="00DD72EE"/>
    <w:rsid w:val="00DF1781"/>
    <w:rsid w:val="00E11170"/>
    <w:rsid w:val="00E12528"/>
    <w:rsid w:val="00E12669"/>
    <w:rsid w:val="00E20D03"/>
    <w:rsid w:val="00E229C5"/>
    <w:rsid w:val="00E33739"/>
    <w:rsid w:val="00E37DCB"/>
    <w:rsid w:val="00E409AE"/>
    <w:rsid w:val="00E57383"/>
    <w:rsid w:val="00E71A43"/>
    <w:rsid w:val="00E71F43"/>
    <w:rsid w:val="00E72736"/>
    <w:rsid w:val="00E7408C"/>
    <w:rsid w:val="00E801B1"/>
    <w:rsid w:val="00E81358"/>
    <w:rsid w:val="00E85B17"/>
    <w:rsid w:val="00E86DA5"/>
    <w:rsid w:val="00E86E2C"/>
    <w:rsid w:val="00E91094"/>
    <w:rsid w:val="00EA5912"/>
    <w:rsid w:val="00EC05EC"/>
    <w:rsid w:val="00EC59EA"/>
    <w:rsid w:val="00ED1DC9"/>
    <w:rsid w:val="00ED559F"/>
    <w:rsid w:val="00EE274C"/>
    <w:rsid w:val="00EE6650"/>
    <w:rsid w:val="00EF651C"/>
    <w:rsid w:val="00F13751"/>
    <w:rsid w:val="00F16C7B"/>
    <w:rsid w:val="00F2650B"/>
    <w:rsid w:val="00F3087C"/>
    <w:rsid w:val="00F3334D"/>
    <w:rsid w:val="00F33352"/>
    <w:rsid w:val="00F3499E"/>
    <w:rsid w:val="00F41AB0"/>
    <w:rsid w:val="00F4362D"/>
    <w:rsid w:val="00F45E86"/>
    <w:rsid w:val="00F623FF"/>
    <w:rsid w:val="00F62554"/>
    <w:rsid w:val="00F627DF"/>
    <w:rsid w:val="00F648D0"/>
    <w:rsid w:val="00F71878"/>
    <w:rsid w:val="00F7540B"/>
    <w:rsid w:val="00F848B9"/>
    <w:rsid w:val="00F93EA9"/>
    <w:rsid w:val="00F961E5"/>
    <w:rsid w:val="00FC27E9"/>
    <w:rsid w:val="00FD323F"/>
    <w:rsid w:val="00FD3ABE"/>
    <w:rsid w:val="00FD4D96"/>
    <w:rsid w:val="00FD5099"/>
    <w:rsid w:val="00FD7B61"/>
    <w:rsid w:val="00FE09AE"/>
    <w:rsid w:val="00FE3660"/>
    <w:rsid w:val="00FF2B81"/>
    <w:rsid w:val="00FF58C3"/>
    <w:rsid w:val="00FF5E19"/>
    <w:rsid w:val="00FF67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246B8"/>
  <w15:docId w15:val="{17A83089-0380-4F5E-AE5F-0721B284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16C5B"/>
    <w:pPr>
      <w:spacing w:before="60" w:after="0" w:line="300" w:lineRule="atLeast"/>
      <w:ind w:firstLine="567"/>
      <w:jc w:val="both"/>
    </w:pPr>
    <w:rPr>
      <w:rFonts w:ascii="Arial" w:eastAsia="Times New Roman" w:hAnsi="Arial" w:cs="Times New Roman"/>
      <w:kern w:val="0"/>
      <w:sz w:val="20"/>
      <w:szCs w:val="20"/>
      <w:lang w:eastAsia="cs-CZ"/>
      <w14:ligatures w14:val="none"/>
    </w:rPr>
  </w:style>
  <w:style w:type="paragraph" w:styleId="Nadpis1">
    <w:name w:val="heading 1"/>
    <w:basedOn w:val="Normln"/>
    <w:next w:val="Nadpis2"/>
    <w:link w:val="Nadpis1Char"/>
    <w:qFormat/>
    <w:rsid w:val="00616C5B"/>
    <w:pPr>
      <w:keepNext/>
      <w:numPr>
        <w:numId w:val="11"/>
      </w:numPr>
      <w:spacing w:before="480" w:after="120"/>
      <w:outlineLvl w:val="0"/>
    </w:pPr>
    <w:rPr>
      <w:b/>
      <w:color w:val="808080"/>
      <w:sz w:val="28"/>
    </w:rPr>
  </w:style>
  <w:style w:type="paragraph" w:styleId="Nadpis2">
    <w:name w:val="heading 2"/>
    <w:basedOn w:val="Nadpis1"/>
    <w:next w:val="Normln"/>
    <w:link w:val="Nadpis2Char"/>
    <w:autoRedefine/>
    <w:qFormat/>
    <w:rsid w:val="00EF651C"/>
    <w:pPr>
      <w:numPr>
        <w:ilvl w:val="1"/>
      </w:numPr>
      <w:outlineLvl w:val="1"/>
    </w:pPr>
    <w:rPr>
      <w:sz w:val="24"/>
      <w:szCs w:val="24"/>
    </w:rPr>
  </w:style>
  <w:style w:type="paragraph" w:styleId="Nadpis3">
    <w:name w:val="heading 3"/>
    <w:basedOn w:val="Nadpis2"/>
    <w:next w:val="Normln"/>
    <w:link w:val="Nadpis3Char"/>
    <w:qFormat/>
    <w:rsid w:val="00616C5B"/>
    <w:pPr>
      <w:numPr>
        <w:ilvl w:val="2"/>
      </w:numPr>
      <w:spacing w:before="360"/>
      <w:outlineLvl w:val="2"/>
    </w:pPr>
  </w:style>
  <w:style w:type="paragraph" w:styleId="Nadpis4">
    <w:name w:val="heading 4"/>
    <w:basedOn w:val="Normln"/>
    <w:next w:val="Normln"/>
    <w:link w:val="Nadpis4Char"/>
    <w:qFormat/>
    <w:rsid w:val="00616C5B"/>
    <w:pPr>
      <w:keepNext/>
      <w:numPr>
        <w:ilvl w:val="3"/>
        <w:numId w:val="11"/>
      </w:numPr>
      <w:tabs>
        <w:tab w:val="left" w:pos="851"/>
      </w:tabs>
      <w:spacing w:before="240" w:after="60"/>
      <w:jc w:val="left"/>
      <w:outlineLvl w:val="3"/>
    </w:pPr>
    <w:rPr>
      <w:b/>
      <w:i/>
      <w:color w:val="808080"/>
    </w:rPr>
  </w:style>
  <w:style w:type="paragraph" w:styleId="Nadpis5">
    <w:name w:val="heading 5"/>
    <w:basedOn w:val="Normln"/>
    <w:next w:val="Normln"/>
    <w:link w:val="Nadpis5Char"/>
    <w:qFormat/>
    <w:rsid w:val="00616C5B"/>
    <w:pPr>
      <w:keepNext/>
      <w:numPr>
        <w:ilvl w:val="4"/>
        <w:numId w:val="11"/>
      </w:numPr>
      <w:spacing w:before="240" w:after="60"/>
      <w:jc w:val="left"/>
      <w:outlineLvl w:val="4"/>
    </w:pPr>
    <w:rPr>
      <w:sz w:val="22"/>
    </w:rPr>
  </w:style>
  <w:style w:type="paragraph" w:styleId="Nadpis6">
    <w:name w:val="heading 6"/>
    <w:basedOn w:val="Normln"/>
    <w:next w:val="Normln"/>
    <w:link w:val="Nadpis6Char"/>
    <w:qFormat/>
    <w:rsid w:val="00616C5B"/>
    <w:pPr>
      <w:keepNext/>
      <w:numPr>
        <w:ilvl w:val="5"/>
        <w:numId w:val="11"/>
      </w:numPr>
      <w:spacing w:before="240" w:after="60"/>
      <w:jc w:val="left"/>
      <w:outlineLvl w:val="5"/>
    </w:pPr>
    <w:rPr>
      <w:i/>
      <w:sz w:val="22"/>
    </w:rPr>
  </w:style>
  <w:style w:type="paragraph" w:styleId="Nadpis7">
    <w:name w:val="heading 7"/>
    <w:basedOn w:val="Normln"/>
    <w:next w:val="Normln"/>
    <w:link w:val="Nadpis7Char"/>
    <w:qFormat/>
    <w:rsid w:val="00616C5B"/>
    <w:pPr>
      <w:numPr>
        <w:ilvl w:val="6"/>
        <w:numId w:val="11"/>
      </w:numPr>
      <w:spacing w:before="240" w:after="60"/>
      <w:outlineLvl w:val="6"/>
    </w:pPr>
  </w:style>
  <w:style w:type="paragraph" w:styleId="Nadpis8">
    <w:name w:val="heading 8"/>
    <w:basedOn w:val="Normln"/>
    <w:next w:val="Normln"/>
    <w:link w:val="Nadpis8Char"/>
    <w:qFormat/>
    <w:rsid w:val="00616C5B"/>
    <w:pPr>
      <w:numPr>
        <w:ilvl w:val="7"/>
        <w:numId w:val="11"/>
      </w:numPr>
      <w:spacing w:before="240" w:after="60"/>
      <w:outlineLvl w:val="7"/>
    </w:pPr>
    <w:rPr>
      <w:i/>
    </w:rPr>
  </w:style>
  <w:style w:type="paragraph" w:styleId="Nadpis9">
    <w:name w:val="heading 9"/>
    <w:basedOn w:val="Normln"/>
    <w:next w:val="Normln"/>
    <w:link w:val="Nadpis9Char"/>
    <w:qFormat/>
    <w:rsid w:val="00616C5B"/>
    <w:pPr>
      <w:numPr>
        <w:ilvl w:val="8"/>
        <w:numId w:val="11"/>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16C5B"/>
    <w:rPr>
      <w:rFonts w:ascii="Arial" w:eastAsia="Times New Roman" w:hAnsi="Arial" w:cs="Times New Roman"/>
      <w:b/>
      <w:color w:val="808080"/>
      <w:kern w:val="0"/>
      <w:sz w:val="28"/>
      <w:szCs w:val="20"/>
      <w:lang w:eastAsia="cs-CZ"/>
      <w14:ligatures w14:val="none"/>
    </w:rPr>
  </w:style>
  <w:style w:type="character" w:customStyle="1" w:styleId="Nadpis2Char">
    <w:name w:val="Nadpis 2 Char"/>
    <w:basedOn w:val="Standardnpsmoodstavce"/>
    <w:link w:val="Nadpis2"/>
    <w:rsid w:val="00EF651C"/>
    <w:rPr>
      <w:rFonts w:ascii="Arial" w:eastAsia="Times New Roman" w:hAnsi="Arial" w:cs="Times New Roman"/>
      <w:b/>
      <w:color w:val="808080"/>
      <w:kern w:val="0"/>
      <w:sz w:val="24"/>
      <w:szCs w:val="24"/>
      <w:lang w:eastAsia="cs-CZ"/>
      <w14:ligatures w14:val="none"/>
    </w:rPr>
  </w:style>
  <w:style w:type="character" w:customStyle="1" w:styleId="Nadpis3Char">
    <w:name w:val="Nadpis 3 Char"/>
    <w:basedOn w:val="Standardnpsmoodstavce"/>
    <w:link w:val="Nadpis3"/>
    <w:rsid w:val="00616C5B"/>
    <w:rPr>
      <w:rFonts w:ascii="Arial" w:eastAsia="Times New Roman" w:hAnsi="Arial" w:cs="Times New Roman"/>
      <w:b/>
      <w:color w:val="808080"/>
      <w:kern w:val="0"/>
      <w:sz w:val="24"/>
      <w:szCs w:val="24"/>
      <w:lang w:eastAsia="cs-CZ"/>
      <w14:ligatures w14:val="none"/>
    </w:rPr>
  </w:style>
  <w:style w:type="character" w:customStyle="1" w:styleId="Nadpis4Char">
    <w:name w:val="Nadpis 4 Char"/>
    <w:basedOn w:val="Standardnpsmoodstavce"/>
    <w:link w:val="Nadpis4"/>
    <w:rsid w:val="00616C5B"/>
    <w:rPr>
      <w:rFonts w:ascii="Arial" w:eastAsia="Times New Roman" w:hAnsi="Arial" w:cs="Times New Roman"/>
      <w:b/>
      <w:i/>
      <w:color w:val="808080"/>
      <w:kern w:val="0"/>
      <w:sz w:val="20"/>
      <w:szCs w:val="20"/>
      <w:lang w:eastAsia="cs-CZ"/>
      <w14:ligatures w14:val="none"/>
    </w:rPr>
  </w:style>
  <w:style w:type="character" w:customStyle="1" w:styleId="Nadpis5Char">
    <w:name w:val="Nadpis 5 Char"/>
    <w:basedOn w:val="Standardnpsmoodstavce"/>
    <w:link w:val="Nadpis5"/>
    <w:rsid w:val="00616C5B"/>
    <w:rPr>
      <w:rFonts w:ascii="Arial" w:eastAsia="Times New Roman" w:hAnsi="Arial" w:cs="Times New Roman"/>
      <w:kern w:val="0"/>
      <w:szCs w:val="20"/>
      <w:lang w:eastAsia="cs-CZ"/>
      <w14:ligatures w14:val="none"/>
    </w:rPr>
  </w:style>
  <w:style w:type="character" w:customStyle="1" w:styleId="Nadpis6Char">
    <w:name w:val="Nadpis 6 Char"/>
    <w:basedOn w:val="Standardnpsmoodstavce"/>
    <w:link w:val="Nadpis6"/>
    <w:rsid w:val="00616C5B"/>
    <w:rPr>
      <w:rFonts w:ascii="Arial" w:eastAsia="Times New Roman" w:hAnsi="Arial" w:cs="Times New Roman"/>
      <w:i/>
      <w:kern w:val="0"/>
      <w:szCs w:val="20"/>
      <w:lang w:eastAsia="cs-CZ"/>
      <w14:ligatures w14:val="none"/>
    </w:rPr>
  </w:style>
  <w:style w:type="character" w:customStyle="1" w:styleId="Nadpis7Char">
    <w:name w:val="Nadpis 7 Char"/>
    <w:basedOn w:val="Standardnpsmoodstavce"/>
    <w:link w:val="Nadpis7"/>
    <w:rsid w:val="00616C5B"/>
    <w:rPr>
      <w:rFonts w:ascii="Arial" w:eastAsia="Times New Roman" w:hAnsi="Arial" w:cs="Times New Roman"/>
      <w:kern w:val="0"/>
      <w:sz w:val="20"/>
      <w:szCs w:val="20"/>
      <w:lang w:eastAsia="cs-CZ"/>
      <w14:ligatures w14:val="none"/>
    </w:rPr>
  </w:style>
  <w:style w:type="character" w:customStyle="1" w:styleId="Nadpis8Char">
    <w:name w:val="Nadpis 8 Char"/>
    <w:basedOn w:val="Standardnpsmoodstavce"/>
    <w:link w:val="Nadpis8"/>
    <w:rsid w:val="00616C5B"/>
    <w:rPr>
      <w:rFonts w:ascii="Arial" w:eastAsia="Times New Roman" w:hAnsi="Arial" w:cs="Times New Roman"/>
      <w:i/>
      <w:kern w:val="0"/>
      <w:sz w:val="20"/>
      <w:szCs w:val="20"/>
      <w:lang w:eastAsia="cs-CZ"/>
      <w14:ligatures w14:val="none"/>
    </w:rPr>
  </w:style>
  <w:style w:type="character" w:customStyle="1" w:styleId="Nadpis9Char">
    <w:name w:val="Nadpis 9 Char"/>
    <w:basedOn w:val="Standardnpsmoodstavce"/>
    <w:link w:val="Nadpis9"/>
    <w:rsid w:val="00616C5B"/>
    <w:rPr>
      <w:rFonts w:ascii="Arial" w:eastAsia="Times New Roman" w:hAnsi="Arial" w:cs="Times New Roman"/>
      <w:i/>
      <w:kern w:val="0"/>
      <w:sz w:val="18"/>
      <w:szCs w:val="20"/>
      <w:lang w:eastAsia="cs-CZ"/>
      <w14:ligatures w14:val="none"/>
    </w:rPr>
  </w:style>
  <w:style w:type="paragraph" w:styleId="Adresanaoblku">
    <w:name w:val="envelope address"/>
    <w:basedOn w:val="Normln"/>
    <w:rsid w:val="00616C5B"/>
    <w:pPr>
      <w:framePr w:w="7920" w:h="1980" w:hRule="exact" w:hSpace="141" w:wrap="auto" w:hAnchor="page" w:xAlign="center" w:yAlign="bottom"/>
      <w:ind w:left="2880" w:firstLine="0"/>
    </w:pPr>
  </w:style>
  <w:style w:type="paragraph" w:customStyle="1" w:styleId="dopln">
    <w:name w:val="doplní"/>
    <w:basedOn w:val="Normln"/>
    <w:next w:val="Normln"/>
    <w:rsid w:val="00616C5B"/>
    <w:rPr>
      <w:b/>
      <w:color w:val="FF0000"/>
    </w:rPr>
  </w:style>
  <w:style w:type="paragraph" w:customStyle="1" w:styleId="Lit-s">
    <w:name w:val="Lit-čís"/>
    <w:basedOn w:val="Normln"/>
    <w:rsid w:val="00616C5B"/>
    <w:pPr>
      <w:ind w:left="425" w:hanging="425"/>
    </w:pPr>
  </w:style>
  <w:style w:type="paragraph" w:customStyle="1" w:styleId="mezera">
    <w:name w:val="mezera"/>
    <w:basedOn w:val="Normln"/>
    <w:next w:val="Normln"/>
    <w:rsid w:val="00616C5B"/>
    <w:pPr>
      <w:spacing w:line="240" w:lineRule="auto"/>
      <w:ind w:firstLine="0"/>
    </w:pPr>
    <w:rPr>
      <w:sz w:val="16"/>
    </w:rPr>
  </w:style>
  <w:style w:type="paragraph" w:customStyle="1" w:styleId="mezera-svzan">
    <w:name w:val="mezera-svázaná"/>
    <w:basedOn w:val="mezera"/>
    <w:rsid w:val="00616C5B"/>
    <w:pPr>
      <w:keepNext/>
      <w:spacing w:before="0"/>
    </w:pPr>
    <w:rPr>
      <w:szCs w:val="23"/>
    </w:rPr>
  </w:style>
  <w:style w:type="paragraph" w:customStyle="1" w:styleId="N-I-pozn">
    <w:name w:val="N-I-pozn"/>
    <w:basedOn w:val="Normln"/>
    <w:rsid w:val="00616C5B"/>
    <w:pPr>
      <w:spacing w:before="0" w:after="120"/>
      <w:ind w:firstLine="0"/>
    </w:pPr>
    <w:rPr>
      <w:i/>
      <w:szCs w:val="24"/>
    </w:rPr>
  </w:style>
  <w:style w:type="paragraph" w:customStyle="1" w:styleId="N-I-pozn-1">
    <w:name w:val="N-I-pozn-1"/>
    <w:basedOn w:val="Normln"/>
    <w:rsid w:val="00616C5B"/>
    <w:pPr>
      <w:spacing w:before="0" w:after="120"/>
      <w:ind w:left="567" w:firstLine="0"/>
    </w:pPr>
    <w:rPr>
      <w:bCs/>
      <w:i/>
      <w:iCs/>
      <w:szCs w:val="24"/>
    </w:rPr>
  </w:style>
  <w:style w:type="paragraph" w:customStyle="1" w:styleId="Normlnvlevo">
    <w:name w:val="Normální vlevo"/>
    <w:basedOn w:val="Normln"/>
    <w:rsid w:val="00616C5B"/>
    <w:pPr>
      <w:ind w:firstLine="0"/>
    </w:pPr>
  </w:style>
  <w:style w:type="paragraph" w:customStyle="1" w:styleId="Norm-B-I">
    <w:name w:val="Norm-B-I"/>
    <w:basedOn w:val="Norm-ital"/>
    <w:rsid w:val="00616C5B"/>
    <w:rPr>
      <w:b/>
      <w:bCs w:val="0"/>
    </w:rPr>
  </w:style>
  <w:style w:type="paragraph" w:customStyle="1" w:styleId="Norm-ital">
    <w:name w:val="Norm-ital"/>
    <w:basedOn w:val="Norm-Bold"/>
    <w:rsid w:val="00616C5B"/>
    <w:rPr>
      <w:b w:val="0"/>
      <w:bCs/>
      <w:i/>
      <w:iCs/>
    </w:rPr>
  </w:style>
  <w:style w:type="paragraph" w:customStyle="1" w:styleId="Norm-Bold">
    <w:name w:val="Norm-Bold"/>
    <w:basedOn w:val="Normln"/>
    <w:next w:val="Normln"/>
    <w:rsid w:val="00616C5B"/>
    <w:pPr>
      <w:keepNext/>
      <w:spacing w:before="240"/>
      <w:ind w:firstLine="0"/>
    </w:pPr>
    <w:rPr>
      <w:b/>
    </w:rPr>
  </w:style>
  <w:style w:type="paragraph" w:customStyle="1" w:styleId="N-vl-1">
    <w:name w:val="N-vl-1"/>
    <w:basedOn w:val="Normlnvlevo"/>
    <w:rsid w:val="00616C5B"/>
    <w:pPr>
      <w:spacing w:line="360" w:lineRule="atLeast"/>
      <w:ind w:left="567"/>
    </w:pPr>
    <w:rPr>
      <w:sz w:val="24"/>
      <w:szCs w:val="23"/>
    </w:rPr>
  </w:style>
  <w:style w:type="paragraph" w:styleId="Obsah1">
    <w:name w:val="toc 1"/>
    <w:basedOn w:val="Normln"/>
    <w:next w:val="Obsah2"/>
    <w:autoRedefine/>
    <w:uiPriority w:val="39"/>
    <w:rsid w:val="00616C5B"/>
    <w:pPr>
      <w:keepNext/>
      <w:tabs>
        <w:tab w:val="right" w:leader="dot" w:pos="9071"/>
      </w:tabs>
      <w:spacing w:before="0"/>
      <w:ind w:left="567" w:right="567" w:hanging="567"/>
    </w:pPr>
    <w:rPr>
      <w:b/>
    </w:rPr>
  </w:style>
  <w:style w:type="paragraph" w:styleId="Obsah2">
    <w:name w:val="toc 2"/>
    <w:basedOn w:val="Normln"/>
    <w:next w:val="Normln"/>
    <w:autoRedefine/>
    <w:uiPriority w:val="39"/>
    <w:rsid w:val="00616C5B"/>
    <w:pPr>
      <w:keepNext/>
      <w:tabs>
        <w:tab w:val="left" w:pos="1134"/>
        <w:tab w:val="right" w:leader="dot" w:pos="9071"/>
      </w:tabs>
      <w:spacing w:before="0"/>
      <w:ind w:left="1134" w:right="567" w:hanging="567"/>
    </w:pPr>
    <w:rPr>
      <w:noProof/>
    </w:rPr>
  </w:style>
  <w:style w:type="paragraph" w:styleId="Obsah3">
    <w:name w:val="toc 3"/>
    <w:basedOn w:val="Normln"/>
    <w:next w:val="Normln"/>
    <w:autoRedefine/>
    <w:uiPriority w:val="39"/>
    <w:rsid w:val="00616C5B"/>
    <w:pPr>
      <w:tabs>
        <w:tab w:val="left" w:pos="1701"/>
        <w:tab w:val="right" w:leader="dot" w:pos="9071"/>
      </w:tabs>
      <w:spacing w:before="0"/>
      <w:ind w:left="1701" w:right="567" w:hanging="567"/>
    </w:pPr>
    <w:rPr>
      <w:i/>
      <w:noProof/>
    </w:rPr>
  </w:style>
  <w:style w:type="paragraph" w:styleId="Obsah4">
    <w:name w:val="toc 4"/>
    <w:basedOn w:val="Normln"/>
    <w:next w:val="Normln"/>
    <w:autoRedefine/>
    <w:uiPriority w:val="39"/>
    <w:rsid w:val="00616C5B"/>
    <w:pPr>
      <w:tabs>
        <w:tab w:val="right" w:leader="dot" w:pos="9071"/>
      </w:tabs>
      <w:spacing w:before="0" w:line="240" w:lineRule="atLeast"/>
      <w:ind w:left="2552" w:right="567" w:hanging="851"/>
    </w:pPr>
    <w:rPr>
      <w:i/>
    </w:rPr>
  </w:style>
  <w:style w:type="paragraph" w:styleId="Obsah5">
    <w:name w:val="toc 5"/>
    <w:basedOn w:val="Normln"/>
    <w:next w:val="Normln"/>
    <w:autoRedefine/>
    <w:semiHidden/>
    <w:rsid w:val="00616C5B"/>
    <w:pPr>
      <w:tabs>
        <w:tab w:val="right" w:leader="dot" w:pos="9071"/>
      </w:tabs>
      <w:ind w:left="960"/>
    </w:pPr>
  </w:style>
  <w:style w:type="paragraph" w:styleId="Obsah6">
    <w:name w:val="toc 6"/>
    <w:basedOn w:val="Normln"/>
    <w:next w:val="Normln"/>
    <w:autoRedefine/>
    <w:semiHidden/>
    <w:rsid w:val="00616C5B"/>
    <w:pPr>
      <w:tabs>
        <w:tab w:val="right" w:leader="dot" w:pos="9071"/>
      </w:tabs>
      <w:ind w:left="1200"/>
    </w:pPr>
  </w:style>
  <w:style w:type="paragraph" w:styleId="Obsah7">
    <w:name w:val="toc 7"/>
    <w:basedOn w:val="Normln"/>
    <w:next w:val="Normln"/>
    <w:autoRedefine/>
    <w:semiHidden/>
    <w:rsid w:val="00616C5B"/>
    <w:pPr>
      <w:tabs>
        <w:tab w:val="right" w:leader="dot" w:pos="9071"/>
      </w:tabs>
      <w:ind w:left="1440"/>
    </w:pPr>
  </w:style>
  <w:style w:type="paragraph" w:styleId="Obsah8">
    <w:name w:val="toc 8"/>
    <w:basedOn w:val="Normln"/>
    <w:next w:val="Normln"/>
    <w:autoRedefine/>
    <w:semiHidden/>
    <w:rsid w:val="00616C5B"/>
    <w:pPr>
      <w:tabs>
        <w:tab w:val="right" w:leader="dot" w:pos="9071"/>
      </w:tabs>
      <w:ind w:left="1680"/>
    </w:pPr>
  </w:style>
  <w:style w:type="paragraph" w:styleId="Obsah9">
    <w:name w:val="toc 9"/>
    <w:basedOn w:val="Normln"/>
    <w:next w:val="Normln"/>
    <w:autoRedefine/>
    <w:semiHidden/>
    <w:rsid w:val="00616C5B"/>
    <w:pPr>
      <w:tabs>
        <w:tab w:val="right" w:leader="dot" w:pos="9071"/>
      </w:tabs>
      <w:ind w:left="1920"/>
    </w:pPr>
  </w:style>
  <w:style w:type="paragraph" w:styleId="Normlnweb">
    <w:name w:val="Normal (Web)"/>
    <w:basedOn w:val="Normln"/>
    <w:rsid w:val="00616C5B"/>
    <w:rPr>
      <w:szCs w:val="24"/>
    </w:rPr>
  </w:style>
  <w:style w:type="character" w:styleId="Odkaznakoment">
    <w:name w:val="annotation reference"/>
    <w:uiPriority w:val="99"/>
    <w:semiHidden/>
    <w:rsid w:val="00616C5B"/>
    <w:rPr>
      <w:rFonts w:ascii="Times New Roman" w:hAnsi="Times New Roman"/>
      <w:sz w:val="16"/>
    </w:rPr>
  </w:style>
  <w:style w:type="character" w:styleId="Odkaznavysvtlivky">
    <w:name w:val="endnote reference"/>
    <w:semiHidden/>
    <w:rsid w:val="00616C5B"/>
    <w:rPr>
      <w:vertAlign w:val="superscript"/>
    </w:rPr>
  </w:style>
  <w:style w:type="paragraph" w:customStyle="1" w:styleId="Rozvrendokumentu">
    <w:name w:val="Rozvržení dokumentu"/>
    <w:basedOn w:val="Normln"/>
    <w:link w:val="RozvrendokumentuChar"/>
    <w:semiHidden/>
    <w:rsid w:val="00616C5B"/>
    <w:pPr>
      <w:shd w:val="clear" w:color="auto" w:fill="000080"/>
    </w:pPr>
    <w:rPr>
      <w:rFonts w:ascii="Tahoma" w:hAnsi="Tahoma"/>
    </w:rPr>
  </w:style>
  <w:style w:type="character" w:customStyle="1" w:styleId="RozvrendokumentuChar">
    <w:name w:val="Rozvržení dokumentu Char"/>
    <w:link w:val="Rozvrendokumentu"/>
    <w:semiHidden/>
    <w:rsid w:val="00616C5B"/>
    <w:rPr>
      <w:rFonts w:ascii="Tahoma" w:eastAsia="Times New Roman" w:hAnsi="Tahoma" w:cs="Times New Roman"/>
      <w:kern w:val="0"/>
      <w:sz w:val="20"/>
      <w:szCs w:val="20"/>
      <w:shd w:val="clear" w:color="auto" w:fill="000080"/>
      <w:lang w:eastAsia="cs-CZ"/>
      <w14:ligatures w14:val="none"/>
    </w:rPr>
  </w:style>
  <w:style w:type="paragraph" w:customStyle="1" w:styleId="Tabslo">
    <w:name w:val="TabČíslo"/>
    <w:basedOn w:val="Normlnvlevo"/>
    <w:rsid w:val="00616C5B"/>
    <w:pPr>
      <w:spacing w:before="0"/>
      <w:jc w:val="right"/>
    </w:pPr>
  </w:style>
  <w:style w:type="paragraph" w:customStyle="1" w:styleId="TabNadpis">
    <w:name w:val="TabNadpis"/>
    <w:basedOn w:val="Normln"/>
    <w:next w:val="Normln"/>
    <w:rsid w:val="00616C5B"/>
    <w:pPr>
      <w:keepNext/>
      <w:spacing w:before="0" w:after="120" w:line="240" w:lineRule="auto"/>
      <w:ind w:left="1021" w:hanging="1021"/>
    </w:pPr>
    <w:rPr>
      <w:b/>
    </w:rPr>
  </w:style>
  <w:style w:type="paragraph" w:customStyle="1" w:styleId="TabPoz">
    <w:name w:val="TabPoz"/>
    <w:basedOn w:val="TabNadpis"/>
    <w:rsid w:val="00616C5B"/>
    <w:pPr>
      <w:spacing w:before="60" w:after="0"/>
      <w:ind w:left="284" w:hanging="284"/>
    </w:pPr>
    <w:rPr>
      <w:b w:val="0"/>
      <w:i/>
      <w:sz w:val="16"/>
    </w:rPr>
  </w:style>
  <w:style w:type="paragraph" w:customStyle="1" w:styleId="TabPramZprac">
    <w:name w:val="TabPramZprac"/>
    <w:basedOn w:val="TabPoz"/>
    <w:rsid w:val="00616C5B"/>
    <w:pPr>
      <w:ind w:left="851" w:hanging="851"/>
    </w:pPr>
  </w:style>
  <w:style w:type="paragraph" w:customStyle="1" w:styleId="tab-sted">
    <w:name w:val="tab-střed"/>
    <w:basedOn w:val="Normln"/>
    <w:next w:val="mezera"/>
    <w:rsid w:val="00616C5B"/>
    <w:pPr>
      <w:keepNext/>
      <w:spacing w:before="0" w:line="240" w:lineRule="auto"/>
      <w:ind w:firstLine="0"/>
      <w:jc w:val="center"/>
    </w:pPr>
  </w:style>
  <w:style w:type="paragraph" w:customStyle="1" w:styleId="Tabulka">
    <w:name w:val="Tabulka"/>
    <w:basedOn w:val="Normlnvlevo"/>
    <w:rsid w:val="00616C5B"/>
    <w:pPr>
      <w:spacing w:before="0"/>
      <w:jc w:val="left"/>
    </w:pPr>
  </w:style>
  <w:style w:type="paragraph" w:customStyle="1" w:styleId="V-center">
    <w:name w:val="V-center"/>
    <w:basedOn w:val="Normln"/>
    <w:next w:val="Normln"/>
    <w:rsid w:val="00616C5B"/>
    <w:pPr>
      <w:framePr w:hSpace="181" w:wrap="notBeside" w:hAnchor="text" w:xAlign="center" w:yAlign="center"/>
      <w:spacing w:before="0" w:line="240" w:lineRule="auto"/>
      <w:ind w:firstLine="0"/>
      <w:jc w:val="center"/>
    </w:pPr>
    <w:rPr>
      <w:b/>
      <w:caps/>
      <w:sz w:val="40"/>
    </w:rPr>
  </w:style>
  <w:style w:type="paragraph" w:customStyle="1" w:styleId="Tab-zkratky">
    <w:name w:val="Tab-zkratky"/>
    <w:basedOn w:val="Tabulka"/>
    <w:rsid w:val="00616C5B"/>
  </w:style>
  <w:style w:type="paragraph" w:styleId="Textkomente">
    <w:name w:val="annotation text"/>
    <w:basedOn w:val="Normln"/>
    <w:link w:val="TextkomenteChar"/>
    <w:uiPriority w:val="99"/>
    <w:rsid w:val="00616C5B"/>
  </w:style>
  <w:style w:type="character" w:customStyle="1" w:styleId="TextkomenteChar">
    <w:name w:val="Text komentáře Char"/>
    <w:basedOn w:val="Standardnpsmoodstavce"/>
    <w:link w:val="Textkomente"/>
    <w:uiPriority w:val="99"/>
    <w:rsid w:val="00616C5B"/>
    <w:rPr>
      <w:rFonts w:ascii="Arial" w:eastAsia="Times New Roman" w:hAnsi="Arial" w:cs="Times New Roman"/>
      <w:kern w:val="0"/>
      <w:sz w:val="20"/>
      <w:szCs w:val="20"/>
      <w:lang w:eastAsia="cs-CZ"/>
      <w14:ligatures w14:val="none"/>
    </w:rPr>
  </w:style>
  <w:style w:type="paragraph" w:styleId="Textpoznpodarou">
    <w:name w:val="footnote text"/>
    <w:basedOn w:val="Normln"/>
    <w:link w:val="TextpoznpodarouChar"/>
    <w:uiPriority w:val="99"/>
    <w:semiHidden/>
    <w:rsid w:val="00616C5B"/>
    <w:pPr>
      <w:spacing w:line="240" w:lineRule="auto"/>
      <w:ind w:left="284" w:hanging="284"/>
    </w:pPr>
    <w:rPr>
      <w:i/>
    </w:rPr>
  </w:style>
  <w:style w:type="character" w:customStyle="1" w:styleId="TextpoznpodarouChar">
    <w:name w:val="Text pozn. pod čarou Char"/>
    <w:basedOn w:val="Standardnpsmoodstavce"/>
    <w:link w:val="Textpoznpodarou"/>
    <w:uiPriority w:val="99"/>
    <w:semiHidden/>
    <w:rsid w:val="00616C5B"/>
    <w:rPr>
      <w:rFonts w:ascii="Arial" w:eastAsia="Times New Roman" w:hAnsi="Arial" w:cs="Times New Roman"/>
      <w:i/>
      <w:kern w:val="0"/>
      <w:sz w:val="20"/>
      <w:szCs w:val="20"/>
      <w:lang w:eastAsia="cs-CZ"/>
      <w14:ligatures w14:val="none"/>
    </w:rPr>
  </w:style>
  <w:style w:type="paragraph" w:styleId="Textvysvtlivek">
    <w:name w:val="endnote text"/>
    <w:basedOn w:val="Normln"/>
    <w:link w:val="TextvysvtlivekChar"/>
    <w:semiHidden/>
    <w:rsid w:val="00616C5B"/>
  </w:style>
  <w:style w:type="character" w:customStyle="1" w:styleId="TextvysvtlivekChar">
    <w:name w:val="Text vysvětlivek Char"/>
    <w:basedOn w:val="Standardnpsmoodstavce"/>
    <w:link w:val="Textvysvtlivek"/>
    <w:semiHidden/>
    <w:rsid w:val="00616C5B"/>
    <w:rPr>
      <w:rFonts w:ascii="Arial" w:eastAsia="Times New Roman" w:hAnsi="Arial" w:cs="Times New Roman"/>
      <w:kern w:val="0"/>
      <w:sz w:val="20"/>
      <w:szCs w:val="20"/>
      <w:lang w:eastAsia="cs-CZ"/>
      <w14:ligatures w14:val="none"/>
    </w:rPr>
  </w:style>
  <w:style w:type="paragraph" w:customStyle="1" w:styleId="vet1">
    <w:name w:val="výčet 1"/>
    <w:basedOn w:val="Normln"/>
    <w:rsid w:val="00616C5B"/>
    <w:pPr>
      <w:numPr>
        <w:numId w:val="5"/>
      </w:numPr>
      <w:spacing w:before="0"/>
    </w:pPr>
  </w:style>
  <w:style w:type="paragraph" w:customStyle="1" w:styleId="vet1slo">
    <w:name w:val="výčet 1. (číslo)"/>
    <w:basedOn w:val="Normln"/>
    <w:qFormat/>
    <w:rsid w:val="00616C5B"/>
    <w:pPr>
      <w:numPr>
        <w:numId w:val="2"/>
      </w:numPr>
      <w:tabs>
        <w:tab w:val="clear" w:pos="720"/>
        <w:tab w:val="num" w:pos="567"/>
      </w:tabs>
      <w:spacing w:before="0"/>
      <w:ind w:left="567" w:hanging="567"/>
    </w:pPr>
  </w:style>
  <w:style w:type="paragraph" w:customStyle="1" w:styleId="vet2">
    <w:name w:val="výčet 2"/>
    <w:basedOn w:val="vet1"/>
    <w:rsid w:val="00616C5B"/>
    <w:pPr>
      <w:numPr>
        <w:numId w:val="6"/>
      </w:numPr>
      <w:tabs>
        <w:tab w:val="left" w:pos="851"/>
      </w:tabs>
    </w:pPr>
  </w:style>
  <w:style w:type="paragraph" w:customStyle="1" w:styleId="vet3">
    <w:name w:val="výčet 3"/>
    <w:basedOn w:val="vet2"/>
    <w:rsid w:val="00616C5B"/>
    <w:pPr>
      <w:numPr>
        <w:numId w:val="7"/>
      </w:numPr>
      <w:tabs>
        <w:tab w:val="clear" w:pos="851"/>
        <w:tab w:val="left" w:pos="1134"/>
      </w:tabs>
    </w:pPr>
  </w:style>
  <w:style w:type="paragraph" w:customStyle="1" w:styleId="vet4">
    <w:name w:val="výčet 4"/>
    <w:basedOn w:val="vet3"/>
    <w:rsid w:val="00616C5B"/>
    <w:pPr>
      <w:numPr>
        <w:numId w:val="8"/>
      </w:numPr>
      <w:tabs>
        <w:tab w:val="clear" w:pos="1134"/>
        <w:tab w:val="left" w:pos="1418"/>
      </w:tabs>
    </w:pPr>
  </w:style>
  <w:style w:type="paragraph" w:customStyle="1" w:styleId="vetapsmeno">
    <w:name w:val="výčet a) (písmeno)"/>
    <w:basedOn w:val="vet1"/>
    <w:rsid w:val="00616C5B"/>
    <w:pPr>
      <w:numPr>
        <w:numId w:val="3"/>
      </w:numPr>
      <w:spacing w:before="60" w:line="240" w:lineRule="auto"/>
    </w:pPr>
  </w:style>
  <w:style w:type="paragraph" w:customStyle="1" w:styleId="veta-I">
    <w:name w:val="výčet a)-I"/>
    <w:basedOn w:val="vetapsmeno"/>
    <w:rsid w:val="00616C5B"/>
    <w:pPr>
      <w:numPr>
        <w:numId w:val="1"/>
      </w:numPr>
      <w:tabs>
        <w:tab w:val="left" w:pos="567"/>
      </w:tabs>
      <w:ind w:left="567" w:hanging="567"/>
    </w:pPr>
    <w:rPr>
      <w:i/>
    </w:rPr>
  </w:style>
  <w:style w:type="paragraph" w:customStyle="1" w:styleId="vzorec-1">
    <w:name w:val="vzorec-1"/>
    <w:basedOn w:val="Normln"/>
    <w:rsid w:val="00616C5B"/>
    <w:pPr>
      <w:tabs>
        <w:tab w:val="center" w:pos="4536"/>
        <w:tab w:val="right" w:pos="9071"/>
      </w:tabs>
      <w:spacing w:after="60"/>
      <w:ind w:firstLine="0"/>
    </w:pPr>
  </w:style>
  <w:style w:type="paragraph" w:customStyle="1" w:styleId="vzorec-2">
    <w:name w:val="vzorec-2"/>
    <w:basedOn w:val="vzorec-1"/>
    <w:rsid w:val="00616C5B"/>
    <w:pPr>
      <w:tabs>
        <w:tab w:val="clear" w:pos="4536"/>
        <w:tab w:val="center" w:pos="2835"/>
        <w:tab w:val="center" w:pos="6237"/>
      </w:tabs>
    </w:pPr>
  </w:style>
  <w:style w:type="paragraph" w:customStyle="1" w:styleId="ztoho">
    <w:name w:val="z toho"/>
    <w:basedOn w:val="Tabulka"/>
    <w:rsid w:val="00616C5B"/>
    <w:pPr>
      <w:tabs>
        <w:tab w:val="left" w:pos="652"/>
      </w:tabs>
      <w:ind w:left="765" w:hanging="765"/>
    </w:pPr>
    <w:rPr>
      <w:b/>
    </w:rPr>
  </w:style>
  <w:style w:type="paragraph" w:styleId="Zhlav">
    <w:name w:val="header"/>
    <w:basedOn w:val="Normln"/>
    <w:link w:val="ZhlavChar"/>
    <w:rsid w:val="00616C5B"/>
    <w:pPr>
      <w:tabs>
        <w:tab w:val="center" w:pos="4536"/>
        <w:tab w:val="center" w:pos="9923"/>
      </w:tabs>
      <w:spacing w:before="0" w:line="240" w:lineRule="auto"/>
      <w:ind w:left="-851" w:right="-851" w:firstLine="0"/>
    </w:pPr>
  </w:style>
  <w:style w:type="character" w:customStyle="1" w:styleId="ZhlavChar">
    <w:name w:val="Záhlaví Char"/>
    <w:basedOn w:val="Standardnpsmoodstavce"/>
    <w:link w:val="Zhlav"/>
    <w:rsid w:val="00616C5B"/>
    <w:rPr>
      <w:rFonts w:ascii="Arial" w:eastAsia="Times New Roman" w:hAnsi="Arial" w:cs="Times New Roman"/>
      <w:kern w:val="0"/>
      <w:sz w:val="20"/>
      <w:szCs w:val="20"/>
      <w:lang w:eastAsia="cs-CZ"/>
      <w14:ligatures w14:val="none"/>
    </w:rPr>
  </w:style>
  <w:style w:type="paragraph" w:styleId="Zpat">
    <w:name w:val="footer"/>
    <w:basedOn w:val="Normln"/>
    <w:link w:val="ZpatChar"/>
    <w:uiPriority w:val="99"/>
    <w:rsid w:val="00616C5B"/>
    <w:pPr>
      <w:spacing w:before="0" w:line="240" w:lineRule="auto"/>
      <w:ind w:firstLine="0"/>
      <w:jc w:val="center"/>
    </w:pPr>
  </w:style>
  <w:style w:type="character" w:customStyle="1" w:styleId="ZpatChar">
    <w:name w:val="Zápatí Char"/>
    <w:basedOn w:val="Standardnpsmoodstavce"/>
    <w:link w:val="Zpat"/>
    <w:uiPriority w:val="99"/>
    <w:rsid w:val="00616C5B"/>
    <w:rPr>
      <w:rFonts w:ascii="Arial" w:eastAsia="Times New Roman" w:hAnsi="Arial" w:cs="Times New Roman"/>
      <w:kern w:val="0"/>
      <w:sz w:val="20"/>
      <w:szCs w:val="20"/>
      <w:lang w:eastAsia="cs-CZ"/>
      <w14:ligatures w14:val="none"/>
    </w:rPr>
  </w:style>
  <w:style w:type="character" w:styleId="Znakapoznpodarou">
    <w:name w:val="footnote reference"/>
    <w:uiPriority w:val="99"/>
    <w:semiHidden/>
    <w:rsid w:val="00616C5B"/>
    <w:rPr>
      <w:rFonts w:cs="Arial"/>
      <w:i/>
      <w:vertAlign w:val="superscript"/>
    </w:rPr>
  </w:style>
  <w:style w:type="paragraph" w:styleId="Pedmtkomente">
    <w:name w:val="annotation subject"/>
    <w:basedOn w:val="Textkomente"/>
    <w:next w:val="Textkomente"/>
    <w:link w:val="PedmtkomenteChar"/>
    <w:uiPriority w:val="99"/>
    <w:semiHidden/>
    <w:unhideWhenUsed/>
    <w:rsid w:val="00616C5B"/>
    <w:rPr>
      <w:b/>
      <w:bCs/>
    </w:rPr>
  </w:style>
  <w:style w:type="character" w:customStyle="1" w:styleId="PedmtkomenteChar">
    <w:name w:val="Předmět komentáře Char"/>
    <w:basedOn w:val="TextkomenteChar"/>
    <w:link w:val="Pedmtkomente"/>
    <w:uiPriority w:val="99"/>
    <w:semiHidden/>
    <w:rsid w:val="00616C5B"/>
    <w:rPr>
      <w:rFonts w:ascii="Arial" w:eastAsia="Times New Roman" w:hAnsi="Arial" w:cs="Times New Roman"/>
      <w:b/>
      <w:bCs/>
      <w:kern w:val="0"/>
      <w:sz w:val="20"/>
      <w:szCs w:val="20"/>
      <w:lang w:eastAsia="cs-CZ"/>
      <w14:ligatures w14:val="none"/>
    </w:rPr>
  </w:style>
  <w:style w:type="paragraph" w:styleId="Textbubliny">
    <w:name w:val="Balloon Text"/>
    <w:basedOn w:val="Normln"/>
    <w:link w:val="TextbublinyChar"/>
    <w:uiPriority w:val="99"/>
    <w:semiHidden/>
    <w:unhideWhenUsed/>
    <w:rsid w:val="00616C5B"/>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6C5B"/>
    <w:rPr>
      <w:rFonts w:ascii="Tahoma" w:eastAsia="Times New Roman" w:hAnsi="Tahoma" w:cs="Tahoma"/>
      <w:kern w:val="0"/>
      <w:sz w:val="16"/>
      <w:szCs w:val="16"/>
      <w:lang w:eastAsia="cs-CZ"/>
      <w14:ligatures w14:val="none"/>
    </w:rPr>
  </w:style>
  <w:style w:type="paragraph" w:customStyle="1" w:styleId="UZEI-logo">
    <w:name w:val="UZEI-logo"/>
    <w:basedOn w:val="Normln"/>
    <w:next w:val="M-nzev"/>
    <w:qFormat/>
    <w:rsid w:val="00616C5B"/>
    <w:pPr>
      <w:keepNext/>
      <w:spacing w:before="120" w:line="240" w:lineRule="auto"/>
      <w:ind w:firstLine="0"/>
      <w:jc w:val="center"/>
    </w:pPr>
    <w:rPr>
      <w:b/>
      <w:caps/>
      <w:kern w:val="28"/>
      <w:szCs w:val="24"/>
    </w:rPr>
  </w:style>
  <w:style w:type="paragraph" w:customStyle="1" w:styleId="M-nzev">
    <w:name w:val="MÚ - název"/>
    <w:basedOn w:val="Normln"/>
    <w:next w:val="M-T4102"/>
    <w:qFormat/>
    <w:rsid w:val="00616C5B"/>
    <w:pPr>
      <w:pBdr>
        <w:bottom w:val="single" w:sz="4" w:space="1" w:color="548DD4"/>
      </w:pBdr>
      <w:spacing w:before="2160" w:line="240" w:lineRule="auto"/>
      <w:ind w:firstLine="0"/>
      <w:jc w:val="center"/>
    </w:pPr>
    <w:rPr>
      <w:rFonts w:cs="Arial"/>
      <w:sz w:val="56"/>
      <w:szCs w:val="56"/>
    </w:rPr>
  </w:style>
  <w:style w:type="paragraph" w:customStyle="1" w:styleId="M-T4102">
    <w:name w:val="MÚ - TÚ 4102"/>
    <w:basedOn w:val="Normln"/>
    <w:next w:val="M-zadavatel"/>
    <w:qFormat/>
    <w:rsid w:val="00616C5B"/>
    <w:pPr>
      <w:spacing w:before="240" w:line="240" w:lineRule="auto"/>
      <w:ind w:firstLine="0"/>
      <w:jc w:val="center"/>
    </w:pPr>
    <w:rPr>
      <w:szCs w:val="24"/>
    </w:rPr>
  </w:style>
  <w:style w:type="paragraph" w:customStyle="1" w:styleId="M-zadavatel">
    <w:name w:val="MÚ - zadavatel"/>
    <w:basedOn w:val="Normln"/>
    <w:next w:val="M-termnzadn"/>
    <w:qFormat/>
    <w:rsid w:val="00616C5B"/>
    <w:pPr>
      <w:spacing w:before="1800"/>
      <w:ind w:left="1701" w:hanging="1701"/>
    </w:pPr>
    <w:rPr>
      <w:rFonts w:cs="Arial"/>
      <w:szCs w:val="24"/>
    </w:rPr>
  </w:style>
  <w:style w:type="paragraph" w:customStyle="1" w:styleId="M-termnzadn">
    <w:name w:val="MÚ - termín zadání"/>
    <w:basedOn w:val="Normln"/>
    <w:next w:val="M-termnodevzdn"/>
    <w:qFormat/>
    <w:rsid w:val="00616C5B"/>
    <w:pPr>
      <w:spacing w:before="240"/>
      <w:ind w:left="1701" w:hanging="1701"/>
    </w:pPr>
    <w:rPr>
      <w:rFonts w:cs="Arial"/>
      <w:szCs w:val="24"/>
    </w:rPr>
  </w:style>
  <w:style w:type="paragraph" w:customStyle="1" w:styleId="M-termnodevzdn">
    <w:name w:val="MÚ - termín odevzdání"/>
    <w:basedOn w:val="Normln"/>
    <w:next w:val="Nadpis1"/>
    <w:qFormat/>
    <w:rsid w:val="00616C5B"/>
    <w:pPr>
      <w:spacing w:before="5400" w:line="240" w:lineRule="auto"/>
      <w:ind w:firstLine="0"/>
      <w:jc w:val="center"/>
    </w:pPr>
    <w:rPr>
      <w:rFonts w:cs="Arial"/>
      <w:szCs w:val="24"/>
    </w:rPr>
  </w:style>
  <w:style w:type="paragraph" w:styleId="Bezmezer">
    <w:name w:val="No Spacing"/>
    <w:uiPriority w:val="1"/>
    <w:qFormat/>
    <w:rsid w:val="00616C5B"/>
    <w:pPr>
      <w:spacing w:after="0" w:line="240" w:lineRule="auto"/>
      <w:ind w:firstLine="567"/>
      <w:jc w:val="both"/>
    </w:pPr>
    <w:rPr>
      <w:rFonts w:ascii="Arial" w:eastAsia="Times New Roman" w:hAnsi="Arial" w:cs="Arial"/>
      <w:kern w:val="0"/>
      <w:sz w:val="24"/>
      <w:szCs w:val="23"/>
      <w:lang w:eastAsia="cs-CZ"/>
      <w14:ligatures w14:val="none"/>
    </w:rPr>
  </w:style>
  <w:style w:type="paragraph" w:styleId="Nadpisobsahu">
    <w:name w:val="TOC Heading"/>
    <w:basedOn w:val="Normln"/>
    <w:next w:val="Normln"/>
    <w:uiPriority w:val="39"/>
    <w:unhideWhenUsed/>
    <w:qFormat/>
    <w:rsid w:val="00616C5B"/>
    <w:pPr>
      <w:spacing w:before="2400" w:after="480"/>
      <w:ind w:firstLine="0"/>
      <w:jc w:val="left"/>
    </w:pPr>
    <w:rPr>
      <w:b/>
      <w:bCs/>
      <w:sz w:val="28"/>
    </w:rPr>
  </w:style>
  <w:style w:type="paragraph" w:customStyle="1" w:styleId="Podtitul1">
    <w:name w:val="Podtitul1"/>
    <w:basedOn w:val="Normln"/>
    <w:next w:val="Normln"/>
    <w:link w:val="PodtitulChar"/>
    <w:uiPriority w:val="11"/>
    <w:qFormat/>
    <w:rsid w:val="00616C5B"/>
    <w:pPr>
      <w:spacing w:after="60"/>
      <w:jc w:val="center"/>
      <w:outlineLvl w:val="1"/>
    </w:pPr>
    <w:rPr>
      <w:szCs w:val="24"/>
    </w:rPr>
  </w:style>
  <w:style w:type="character" w:customStyle="1" w:styleId="PodtitulChar">
    <w:name w:val="Podtitul Char"/>
    <w:link w:val="Podtitul1"/>
    <w:uiPriority w:val="11"/>
    <w:rsid w:val="00616C5B"/>
    <w:rPr>
      <w:rFonts w:ascii="Arial" w:eastAsia="Times New Roman" w:hAnsi="Arial" w:cs="Times New Roman"/>
      <w:kern w:val="0"/>
      <w:sz w:val="20"/>
      <w:szCs w:val="24"/>
      <w:lang w:eastAsia="cs-CZ"/>
      <w14:ligatures w14:val="none"/>
    </w:rPr>
  </w:style>
  <w:style w:type="character" w:customStyle="1" w:styleId="Zvraznn1">
    <w:name w:val="Zvýraznění1"/>
    <w:uiPriority w:val="20"/>
    <w:qFormat/>
    <w:rsid w:val="00616C5B"/>
    <w:rPr>
      <w:i/>
      <w:iCs/>
    </w:rPr>
  </w:style>
  <w:style w:type="character" w:styleId="Siln">
    <w:name w:val="Strong"/>
    <w:uiPriority w:val="22"/>
    <w:qFormat/>
    <w:rsid w:val="00616C5B"/>
    <w:rPr>
      <w:b/>
      <w:bCs/>
    </w:rPr>
  </w:style>
  <w:style w:type="paragraph" w:styleId="Citt">
    <w:name w:val="Quote"/>
    <w:basedOn w:val="Normln"/>
    <w:next w:val="Normln"/>
    <w:link w:val="CittChar"/>
    <w:uiPriority w:val="29"/>
    <w:qFormat/>
    <w:rsid w:val="00616C5B"/>
    <w:rPr>
      <w:i/>
      <w:iCs/>
      <w:color w:val="000000"/>
    </w:rPr>
  </w:style>
  <w:style w:type="character" w:customStyle="1" w:styleId="CittChar">
    <w:name w:val="Citát Char"/>
    <w:basedOn w:val="Standardnpsmoodstavce"/>
    <w:link w:val="Citt"/>
    <w:uiPriority w:val="29"/>
    <w:rsid w:val="00616C5B"/>
    <w:rPr>
      <w:rFonts w:ascii="Arial" w:eastAsia="Times New Roman" w:hAnsi="Arial" w:cs="Times New Roman"/>
      <w:i/>
      <w:iCs/>
      <w:color w:val="000000"/>
      <w:kern w:val="0"/>
      <w:sz w:val="20"/>
      <w:szCs w:val="20"/>
      <w:lang w:eastAsia="cs-CZ"/>
      <w14:ligatures w14:val="none"/>
    </w:rPr>
  </w:style>
  <w:style w:type="paragraph" w:styleId="Vrazncitt">
    <w:name w:val="Intense Quote"/>
    <w:basedOn w:val="Normln"/>
    <w:next w:val="Normln"/>
    <w:link w:val="VrazncittChar"/>
    <w:uiPriority w:val="30"/>
    <w:qFormat/>
    <w:rsid w:val="00616C5B"/>
    <w:pPr>
      <w:pBdr>
        <w:bottom w:val="single" w:sz="4" w:space="4" w:color="4F81BD"/>
      </w:pBdr>
      <w:spacing w:before="200" w:after="280"/>
      <w:ind w:firstLine="0"/>
    </w:pPr>
    <w:rPr>
      <w:b/>
      <w:bCs/>
      <w:i/>
      <w:iCs/>
      <w:color w:val="4F81BD"/>
    </w:rPr>
  </w:style>
  <w:style w:type="character" w:customStyle="1" w:styleId="VrazncittChar">
    <w:name w:val="Výrazný citát Char"/>
    <w:basedOn w:val="Standardnpsmoodstavce"/>
    <w:link w:val="Vrazncitt"/>
    <w:uiPriority w:val="30"/>
    <w:rsid w:val="00616C5B"/>
    <w:rPr>
      <w:rFonts w:ascii="Arial" w:eastAsia="Times New Roman" w:hAnsi="Arial" w:cs="Times New Roman"/>
      <w:b/>
      <w:bCs/>
      <w:i/>
      <w:iCs/>
      <w:color w:val="4F81BD"/>
      <w:kern w:val="0"/>
      <w:sz w:val="20"/>
      <w:szCs w:val="20"/>
      <w:lang w:eastAsia="cs-CZ"/>
      <w14:ligatures w14:val="none"/>
    </w:rPr>
  </w:style>
  <w:style w:type="character" w:styleId="Odkazjemn">
    <w:name w:val="Subtle Reference"/>
    <w:uiPriority w:val="31"/>
    <w:qFormat/>
    <w:rsid w:val="00616C5B"/>
    <w:rPr>
      <w:smallCaps/>
      <w:color w:val="C0504D"/>
      <w:u w:val="single"/>
    </w:rPr>
  </w:style>
  <w:style w:type="character" w:styleId="Odkazintenzivn">
    <w:name w:val="Intense Reference"/>
    <w:uiPriority w:val="32"/>
    <w:qFormat/>
    <w:rsid w:val="00616C5B"/>
    <w:rPr>
      <w:b/>
      <w:bCs/>
      <w:smallCaps/>
      <w:color w:val="C0504D"/>
      <w:spacing w:val="5"/>
      <w:u w:val="single"/>
    </w:rPr>
  </w:style>
  <w:style w:type="paragraph" w:customStyle="1" w:styleId="Tabulkasla">
    <w:name w:val="Tabulka čísla"/>
    <w:basedOn w:val="Tabulka"/>
    <w:rsid w:val="00616C5B"/>
    <w:pPr>
      <w:jc w:val="right"/>
    </w:pPr>
  </w:style>
  <w:style w:type="paragraph" w:styleId="Odstavecseseznamem">
    <w:name w:val="List Paragraph"/>
    <w:aliases w:val="Nad,Odstavec_muj,Odstavec cíl se seznamem,Odstavec se seznamem5,_Odstavec se seznamem,Seznam - odrážky,Conclusion de partie,List Paragraph (Czech Tourism),Odstavec se seznamem1,List Paragraph compact,Normal bullet 2,Název grafu,nad "/>
    <w:basedOn w:val="Normln"/>
    <w:link w:val="OdstavecseseznamemChar"/>
    <w:uiPriority w:val="34"/>
    <w:qFormat/>
    <w:rsid w:val="00616C5B"/>
    <w:pPr>
      <w:ind w:left="567" w:hanging="567"/>
    </w:pPr>
  </w:style>
  <w:style w:type="paragraph" w:customStyle="1" w:styleId="T-nzevvstupu">
    <w:name w:val="TÚ - název výstupu"/>
    <w:basedOn w:val="Normln"/>
    <w:next w:val="T-sloanzev"/>
    <w:qFormat/>
    <w:rsid w:val="00616C5B"/>
    <w:pPr>
      <w:pBdr>
        <w:bottom w:val="single" w:sz="4" w:space="1" w:color="548DD4"/>
      </w:pBdr>
      <w:spacing w:before="2160" w:line="240" w:lineRule="auto"/>
      <w:ind w:firstLine="0"/>
      <w:jc w:val="center"/>
    </w:pPr>
    <w:rPr>
      <w:sz w:val="56"/>
      <w:szCs w:val="56"/>
    </w:rPr>
  </w:style>
  <w:style w:type="paragraph" w:customStyle="1" w:styleId="T-sloanzev">
    <w:name w:val="TÚ - číslo a název"/>
    <w:basedOn w:val="Normln"/>
    <w:next w:val="T-slovstupu"/>
    <w:qFormat/>
    <w:rsid w:val="00616C5B"/>
    <w:pPr>
      <w:spacing w:before="0" w:line="240" w:lineRule="auto"/>
      <w:ind w:firstLine="0"/>
      <w:jc w:val="left"/>
    </w:pPr>
    <w:rPr>
      <w:szCs w:val="24"/>
    </w:rPr>
  </w:style>
  <w:style w:type="paragraph" w:customStyle="1" w:styleId="T-slovstupu">
    <w:name w:val="TÚ - číslo výstupu"/>
    <w:basedOn w:val="T-sloanzev"/>
    <w:next w:val="T-odpovdneitel"/>
    <w:qFormat/>
    <w:rsid w:val="00616C5B"/>
    <w:pPr>
      <w:spacing w:before="240"/>
      <w:jc w:val="center"/>
    </w:pPr>
  </w:style>
  <w:style w:type="paragraph" w:customStyle="1" w:styleId="T-odpovdneitel">
    <w:name w:val="TÚ - odpovědný řešitel"/>
    <w:basedOn w:val="T-sloanzev"/>
    <w:next w:val="T-spolueitel1"/>
    <w:qFormat/>
    <w:rsid w:val="00616C5B"/>
    <w:pPr>
      <w:spacing w:before="1800"/>
      <w:ind w:left="2268" w:hanging="2268"/>
    </w:pPr>
  </w:style>
  <w:style w:type="paragraph" w:customStyle="1" w:styleId="T-spolueitel1">
    <w:name w:val="TÚ - spoluřešitel1"/>
    <w:basedOn w:val="T-sloanzev"/>
    <w:qFormat/>
    <w:rsid w:val="00616C5B"/>
    <w:pPr>
      <w:spacing w:before="240"/>
      <w:ind w:left="2268" w:hanging="2268"/>
    </w:pPr>
  </w:style>
  <w:style w:type="paragraph" w:customStyle="1" w:styleId="T-datumodevzdn">
    <w:name w:val="TÚ - datum odevzdání"/>
    <w:basedOn w:val="Normln"/>
    <w:next w:val="Nadpis1"/>
    <w:qFormat/>
    <w:rsid w:val="00616C5B"/>
    <w:pPr>
      <w:spacing w:before="960" w:line="240" w:lineRule="auto"/>
      <w:ind w:firstLine="0"/>
      <w:jc w:val="center"/>
    </w:pPr>
    <w:rPr>
      <w:szCs w:val="24"/>
    </w:rPr>
  </w:style>
  <w:style w:type="paragraph" w:customStyle="1" w:styleId="T-spolueitel2">
    <w:name w:val="TÚ - spoluřešitel2"/>
    <w:basedOn w:val="T-sloanzev"/>
    <w:qFormat/>
    <w:rsid w:val="00616C5B"/>
    <w:pPr>
      <w:spacing w:before="240"/>
      <w:ind w:left="2268"/>
    </w:pPr>
  </w:style>
  <w:style w:type="paragraph" w:customStyle="1" w:styleId="Lit-bezs">
    <w:name w:val="Lit-bez čís"/>
    <w:basedOn w:val="Normln"/>
    <w:rsid w:val="00616C5B"/>
    <w:pPr>
      <w:spacing w:line="240" w:lineRule="auto"/>
      <w:ind w:left="426" w:right="567" w:hanging="426"/>
    </w:pPr>
  </w:style>
  <w:style w:type="paragraph" w:customStyle="1" w:styleId="mezera-sted">
    <w:name w:val="mezera-střed"/>
    <w:basedOn w:val="mezera"/>
    <w:rsid w:val="00616C5B"/>
    <w:pPr>
      <w:suppressAutoHyphens/>
      <w:spacing w:before="0"/>
      <w:jc w:val="center"/>
    </w:pPr>
    <w:rPr>
      <w:lang w:eastAsia="ar-SA"/>
    </w:rPr>
  </w:style>
  <w:style w:type="paragraph" w:customStyle="1" w:styleId="Tabulkazhl-">
    <w:name w:val="Tabulka záhl-ř"/>
    <w:basedOn w:val="Tabulka"/>
    <w:rsid w:val="00616C5B"/>
    <w:rPr>
      <w:b/>
      <w:bCs/>
    </w:rPr>
  </w:style>
  <w:style w:type="paragraph" w:customStyle="1" w:styleId="Tabulkazhl-sl">
    <w:name w:val="Tabulka záhl-sl"/>
    <w:basedOn w:val="Tabulka"/>
    <w:rsid w:val="00616C5B"/>
    <w:pPr>
      <w:jc w:val="center"/>
    </w:pPr>
    <w:rPr>
      <w:b/>
      <w:bCs/>
    </w:rPr>
  </w:style>
  <w:style w:type="paragraph" w:customStyle="1" w:styleId="tab-vet1">
    <w:name w:val="tab-výčet1"/>
    <w:basedOn w:val="Normln"/>
    <w:rsid w:val="00616C5B"/>
    <w:pPr>
      <w:keepNext/>
      <w:numPr>
        <w:numId w:val="4"/>
      </w:numPr>
      <w:tabs>
        <w:tab w:val="left" w:pos="142"/>
      </w:tabs>
      <w:spacing w:before="0"/>
      <w:jc w:val="left"/>
    </w:pPr>
  </w:style>
  <w:style w:type="character" w:customStyle="1" w:styleId="OdstavecseseznamemChar">
    <w:name w:val="Odstavec se seznamem Char"/>
    <w:aliases w:val="Nad Char,Odstavec_muj Char,Odstavec cíl se seznamem Char,Odstavec se seznamem5 Char,_Odstavec se seznamem Char,Seznam - odrážky Char,Conclusion de partie Char,List Paragraph (Czech Tourism) Char,Odstavec se seznamem1 Char"/>
    <w:link w:val="Odstavecseseznamem"/>
    <w:uiPriority w:val="34"/>
    <w:qFormat/>
    <w:locked/>
    <w:rsid w:val="00616C5B"/>
    <w:rPr>
      <w:rFonts w:ascii="Arial" w:eastAsia="Times New Roman" w:hAnsi="Arial" w:cs="Times New Roman"/>
      <w:kern w:val="0"/>
      <w:sz w:val="20"/>
      <w:szCs w:val="20"/>
      <w:lang w:eastAsia="cs-CZ"/>
      <w14:ligatures w14:val="none"/>
    </w:rPr>
  </w:style>
  <w:style w:type="character" w:customStyle="1" w:styleId="markedcontent">
    <w:name w:val="markedcontent"/>
    <w:basedOn w:val="Standardnpsmoodstavce"/>
    <w:rsid w:val="00616C5B"/>
  </w:style>
  <w:style w:type="character" w:customStyle="1" w:styleId="highlight">
    <w:name w:val="highlight"/>
    <w:basedOn w:val="Standardnpsmoodstavce"/>
    <w:rsid w:val="00616C5B"/>
  </w:style>
  <w:style w:type="paragraph" w:customStyle="1" w:styleId="paragraph">
    <w:name w:val="paragraph"/>
    <w:basedOn w:val="Normln"/>
    <w:rsid w:val="00616C5B"/>
    <w:pPr>
      <w:spacing w:before="100" w:beforeAutospacing="1" w:after="100" w:afterAutospacing="1" w:line="240" w:lineRule="auto"/>
      <w:ind w:firstLine="0"/>
      <w:jc w:val="left"/>
    </w:pPr>
    <w:rPr>
      <w:szCs w:val="24"/>
    </w:rPr>
  </w:style>
  <w:style w:type="paragraph" w:styleId="Revize">
    <w:name w:val="Revision"/>
    <w:hidden/>
    <w:uiPriority w:val="99"/>
    <w:semiHidden/>
    <w:rsid w:val="00616C5B"/>
    <w:pPr>
      <w:spacing w:after="0" w:line="240" w:lineRule="auto"/>
    </w:pPr>
    <w:rPr>
      <w:rFonts w:ascii="Arial" w:eastAsia="Calibri" w:hAnsi="Arial" w:cs="Calibri"/>
      <w:spacing w:val="15"/>
      <w:kern w:val="0"/>
      <w:sz w:val="20"/>
      <w:szCs w:val="20"/>
      <w:u w:val="single"/>
      <w14:ligatures w14:val="none"/>
    </w:rPr>
  </w:style>
  <w:style w:type="character" w:styleId="Hypertextovodkaz">
    <w:name w:val="Hyperlink"/>
    <w:uiPriority w:val="99"/>
    <w:unhideWhenUsed/>
    <w:rsid w:val="00616C5B"/>
    <w:rPr>
      <w:color w:val="0563C1"/>
      <w:u w:val="single"/>
    </w:rPr>
  </w:style>
  <w:style w:type="character" w:customStyle="1" w:styleId="Nevyeenzmnka1">
    <w:name w:val="Nevyřešená zmínka1"/>
    <w:uiPriority w:val="99"/>
    <w:semiHidden/>
    <w:unhideWhenUsed/>
    <w:rsid w:val="00616C5B"/>
    <w:rPr>
      <w:color w:val="605E5C"/>
      <w:shd w:val="clear" w:color="auto" w:fill="E1DFDD"/>
    </w:rPr>
  </w:style>
  <w:style w:type="paragraph" w:styleId="Nzev">
    <w:name w:val="Title"/>
    <w:basedOn w:val="Nadpis1"/>
    <w:next w:val="Normln"/>
    <w:link w:val="NzevChar"/>
    <w:uiPriority w:val="10"/>
    <w:qFormat/>
    <w:rsid w:val="00590C4F"/>
    <w:pPr>
      <w:pageBreakBefore/>
      <w:ind w:left="567" w:hanging="567"/>
    </w:pPr>
    <w:rPr>
      <w:rFonts w:cs="Arial"/>
      <w:iCs/>
      <w:szCs w:val="24"/>
    </w:rPr>
  </w:style>
  <w:style w:type="character" w:customStyle="1" w:styleId="NzevChar">
    <w:name w:val="Název Char"/>
    <w:basedOn w:val="Standardnpsmoodstavce"/>
    <w:link w:val="Nzev"/>
    <w:uiPriority w:val="10"/>
    <w:rsid w:val="00590C4F"/>
    <w:rPr>
      <w:rFonts w:ascii="Arial" w:eastAsia="Times New Roman" w:hAnsi="Arial" w:cs="Arial"/>
      <w:b/>
      <w:iCs/>
      <w:color w:val="808080"/>
      <w:kern w:val="0"/>
      <w:sz w:val="28"/>
      <w:szCs w:val="24"/>
      <w:lang w:eastAsia="cs-CZ"/>
      <w14:ligatures w14:val="none"/>
    </w:rPr>
  </w:style>
  <w:style w:type="character" w:customStyle="1" w:styleId="Nevyeenzmnka2">
    <w:name w:val="Nevyřešená zmínka2"/>
    <w:uiPriority w:val="99"/>
    <w:semiHidden/>
    <w:unhideWhenUsed/>
    <w:rsid w:val="00616C5B"/>
    <w:rPr>
      <w:color w:val="605E5C"/>
      <w:shd w:val="clear" w:color="auto" w:fill="E1DFDD"/>
    </w:rPr>
  </w:style>
  <w:style w:type="character" w:styleId="Sledovanodkaz">
    <w:name w:val="FollowedHyperlink"/>
    <w:uiPriority w:val="99"/>
    <w:semiHidden/>
    <w:unhideWhenUsed/>
    <w:rsid w:val="00616C5B"/>
    <w:rPr>
      <w:color w:val="954F72"/>
      <w:u w:val="single"/>
    </w:rPr>
  </w:style>
  <w:style w:type="paragraph" w:styleId="Titulek">
    <w:name w:val="caption"/>
    <w:basedOn w:val="Normln"/>
    <w:next w:val="Normln"/>
    <w:uiPriority w:val="35"/>
    <w:unhideWhenUsed/>
    <w:qFormat/>
    <w:rsid w:val="00616C5B"/>
    <w:pPr>
      <w:keepNext/>
      <w:spacing w:before="240" w:after="120"/>
      <w:ind w:firstLine="0"/>
      <w:jc w:val="left"/>
    </w:pPr>
    <w:rPr>
      <w:b/>
      <w:bCs/>
    </w:rPr>
  </w:style>
  <w:style w:type="character" w:styleId="Zdraznnintenzivn">
    <w:name w:val="Intense Emphasis"/>
    <w:uiPriority w:val="21"/>
    <w:qFormat/>
    <w:rsid w:val="00616C5B"/>
    <w:rPr>
      <w:i/>
      <w:iCs/>
      <w:color w:val="4472C4"/>
    </w:rPr>
  </w:style>
  <w:style w:type="paragraph" w:customStyle="1" w:styleId="MT-termnzadn">
    <w:name w:val="MTÚ - termín zadání"/>
    <w:basedOn w:val="Normln"/>
    <w:next w:val="Normln"/>
    <w:qFormat/>
    <w:rsid w:val="00616C5B"/>
    <w:pPr>
      <w:spacing w:before="240"/>
      <w:ind w:left="720" w:hanging="360"/>
    </w:pPr>
    <w:rPr>
      <w:rFonts w:cs="Arial"/>
      <w:szCs w:val="24"/>
    </w:rPr>
  </w:style>
  <w:style w:type="paragraph" w:customStyle="1" w:styleId="Zdroje">
    <w:name w:val="Zdroje"/>
    <w:basedOn w:val="Normln"/>
    <w:link w:val="ZdrojeChar"/>
    <w:qFormat/>
    <w:rsid w:val="00616C5B"/>
    <w:pPr>
      <w:spacing w:before="0"/>
      <w:ind w:firstLine="0"/>
    </w:pPr>
    <w:rPr>
      <w:i/>
      <w:iCs/>
      <w:sz w:val="18"/>
      <w:szCs w:val="18"/>
    </w:rPr>
  </w:style>
  <w:style w:type="character" w:customStyle="1" w:styleId="ZdrojeChar">
    <w:name w:val="Zdroje Char"/>
    <w:link w:val="Zdroje"/>
    <w:rsid w:val="00616C5B"/>
    <w:rPr>
      <w:rFonts w:ascii="Arial" w:eastAsia="Times New Roman" w:hAnsi="Arial" w:cs="Times New Roman"/>
      <w:i/>
      <w:iCs/>
      <w:kern w:val="0"/>
      <w:sz w:val="18"/>
      <w:szCs w:val="18"/>
      <w:lang w:eastAsia="cs-CZ"/>
      <w14:ligatures w14:val="none"/>
    </w:rPr>
  </w:style>
  <w:style w:type="table" w:styleId="Mkatabulky">
    <w:name w:val="Table Grid"/>
    <w:basedOn w:val="Normlntabulka"/>
    <w:uiPriority w:val="39"/>
    <w:rsid w:val="00616C5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Standardnpsmoodstavce"/>
    <w:rsid w:val="00616C5B"/>
  </w:style>
  <w:style w:type="character" w:customStyle="1" w:styleId="h1a">
    <w:name w:val="h1a"/>
    <w:basedOn w:val="Standardnpsmoodstavce"/>
    <w:rsid w:val="00616C5B"/>
  </w:style>
  <w:style w:type="character" w:customStyle="1" w:styleId="cf01">
    <w:name w:val="cf01"/>
    <w:basedOn w:val="Standardnpsmoodstavce"/>
    <w:rsid w:val="00616C5B"/>
    <w:rPr>
      <w:rFonts w:ascii="Segoe UI" w:hAnsi="Segoe UI" w:cs="Segoe UI" w:hint="default"/>
      <w:sz w:val="18"/>
      <w:szCs w:val="18"/>
    </w:rPr>
  </w:style>
  <w:style w:type="paragraph" w:styleId="Seznamobrzk">
    <w:name w:val="table of figures"/>
    <w:basedOn w:val="Normln"/>
    <w:next w:val="Normln"/>
    <w:uiPriority w:val="99"/>
    <w:unhideWhenUsed/>
    <w:rsid w:val="00616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y.nature.cz" TargetMode="External"/><Relationship Id="rId5" Type="http://schemas.openxmlformats.org/officeDocument/2006/relationships/styles" Target="styles.xml"/><Relationship Id="rId15" Type="http://schemas.openxmlformats.org/officeDocument/2006/relationships/chart" Target="charts/chart2.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https://uzei-my.sharepoint.com/personal/capkova_michaela_uzei_cz/Documents/Vlk/2023/vlk%20propo&#269;ty%20p&#367;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uzei-my.sharepoint.com/personal/capkova_michaela_uzei_cz/Documents/Desktop/vlk%20propo&#269;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uzei.sharepoint.com/sites/Vyhlka4322005_nhradyzazem.hospodaen/Shared%20Documents/VLK/dotazn&#237;k%202023+vyhodnocen&#237;/Odpov&#283;di/Zv&#253;&#353;en&#233;%20n&#225;klady%20na%20organizaci%20pastvy%20v%20oblastech%20s%20v&#253;skytem%20vlka%20obecn&#233;ho(1-5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pkova\Downloads\VLK%20PROPO&#268;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'[vlk propočty pův.xlsx]List1'!$C$1</c:f>
              <c:strCache>
                <c:ptCount val="1"/>
                <c:pt idx="0">
                  <c:v>Výměra pasených pozemků s opatřeními</c:v>
                </c:pt>
              </c:strCache>
            </c:strRef>
          </c:tx>
          <c:spPr>
            <a:solidFill>
              <a:schemeClr val="accent1"/>
            </a:solidFill>
            <a:ln>
              <a:noFill/>
            </a:ln>
            <a:effectLst/>
          </c:spPr>
          <c:invertIfNegative val="0"/>
          <c:val>
            <c:numRef>
              <c:f>'[vlk propočty pův.xlsx]List1'!$C$2:$C$60</c:f>
              <c:numCache>
                <c:formatCode>General</c:formatCode>
                <c:ptCount val="59"/>
                <c:pt idx="0">
                  <c:v>2</c:v>
                </c:pt>
                <c:pt idx="1">
                  <c:v>3</c:v>
                </c:pt>
                <c:pt idx="2">
                  <c:v>3.85</c:v>
                </c:pt>
                <c:pt idx="3">
                  <c:v>4</c:v>
                </c:pt>
                <c:pt idx="4">
                  <c:v>4</c:v>
                </c:pt>
                <c:pt idx="5">
                  <c:v>5.15</c:v>
                </c:pt>
                <c:pt idx="6">
                  <c:v>1</c:v>
                </c:pt>
                <c:pt idx="7">
                  <c:v>4.5</c:v>
                </c:pt>
                <c:pt idx="8">
                  <c:v>6</c:v>
                </c:pt>
                <c:pt idx="9">
                  <c:v>6</c:v>
                </c:pt>
                <c:pt idx="10">
                  <c:v>6.08</c:v>
                </c:pt>
                <c:pt idx="11">
                  <c:v>6.8</c:v>
                </c:pt>
                <c:pt idx="12">
                  <c:v>3</c:v>
                </c:pt>
                <c:pt idx="13">
                  <c:v>5.6</c:v>
                </c:pt>
                <c:pt idx="14">
                  <c:v>9</c:v>
                </c:pt>
                <c:pt idx="15">
                  <c:v>9</c:v>
                </c:pt>
                <c:pt idx="16">
                  <c:v>2</c:v>
                </c:pt>
                <c:pt idx="17">
                  <c:v>10</c:v>
                </c:pt>
                <c:pt idx="18">
                  <c:v>10</c:v>
                </c:pt>
                <c:pt idx="19">
                  <c:v>11</c:v>
                </c:pt>
                <c:pt idx="20">
                  <c:v>11</c:v>
                </c:pt>
                <c:pt idx="21">
                  <c:v>6.63</c:v>
                </c:pt>
                <c:pt idx="22">
                  <c:v>3</c:v>
                </c:pt>
                <c:pt idx="23">
                  <c:v>14</c:v>
                </c:pt>
                <c:pt idx="24">
                  <c:v>13.5</c:v>
                </c:pt>
                <c:pt idx="25">
                  <c:v>5</c:v>
                </c:pt>
                <c:pt idx="26">
                  <c:v>19</c:v>
                </c:pt>
                <c:pt idx="27">
                  <c:v>7</c:v>
                </c:pt>
                <c:pt idx="28">
                  <c:v>20</c:v>
                </c:pt>
                <c:pt idx="29">
                  <c:v>20</c:v>
                </c:pt>
                <c:pt idx="30">
                  <c:v>19</c:v>
                </c:pt>
                <c:pt idx="31">
                  <c:v>20</c:v>
                </c:pt>
                <c:pt idx="32">
                  <c:v>24</c:v>
                </c:pt>
                <c:pt idx="33">
                  <c:v>25</c:v>
                </c:pt>
                <c:pt idx="34">
                  <c:v>12</c:v>
                </c:pt>
                <c:pt idx="35">
                  <c:v>5</c:v>
                </c:pt>
                <c:pt idx="36">
                  <c:v>25</c:v>
                </c:pt>
                <c:pt idx="37">
                  <c:v>30</c:v>
                </c:pt>
                <c:pt idx="38">
                  <c:v>30</c:v>
                </c:pt>
                <c:pt idx="39">
                  <c:v>30</c:v>
                </c:pt>
                <c:pt idx="40">
                  <c:v>31</c:v>
                </c:pt>
                <c:pt idx="41">
                  <c:v>32.5</c:v>
                </c:pt>
                <c:pt idx="42">
                  <c:v>34</c:v>
                </c:pt>
                <c:pt idx="43">
                  <c:v>34</c:v>
                </c:pt>
                <c:pt idx="44">
                  <c:v>35</c:v>
                </c:pt>
                <c:pt idx="45">
                  <c:v>50</c:v>
                </c:pt>
                <c:pt idx="46">
                  <c:v>50</c:v>
                </c:pt>
                <c:pt idx="47">
                  <c:v>57</c:v>
                </c:pt>
                <c:pt idx="48">
                  <c:v>59</c:v>
                </c:pt>
                <c:pt idx="49">
                  <c:v>50</c:v>
                </c:pt>
                <c:pt idx="50">
                  <c:v>46</c:v>
                </c:pt>
                <c:pt idx="51">
                  <c:v>102</c:v>
                </c:pt>
                <c:pt idx="52">
                  <c:v>130</c:v>
                </c:pt>
                <c:pt idx="53">
                  <c:v>165</c:v>
                </c:pt>
                <c:pt idx="54">
                  <c:v>170</c:v>
                </c:pt>
                <c:pt idx="55">
                  <c:v>173</c:v>
                </c:pt>
                <c:pt idx="56">
                  <c:v>195</c:v>
                </c:pt>
                <c:pt idx="57">
                  <c:v>270</c:v>
                </c:pt>
                <c:pt idx="58">
                  <c:v>211</c:v>
                </c:pt>
              </c:numCache>
            </c:numRef>
          </c:val>
          <c:extLst>
            <c:ext xmlns:c16="http://schemas.microsoft.com/office/drawing/2014/chart" uri="{C3380CC4-5D6E-409C-BE32-E72D297353CC}">
              <c16:uniqueId val="{00000000-2384-46D4-B14A-E04095BD01C4}"/>
            </c:ext>
          </c:extLst>
        </c:ser>
        <c:ser>
          <c:idx val="1"/>
          <c:order val="1"/>
          <c:tx>
            <c:strRef>
              <c:f>'[vlk propočty pův.xlsx]List1'!$D$1</c:f>
              <c:strCache>
                <c:ptCount val="1"/>
                <c:pt idx="0">
                  <c:v>Výměra bez opatření</c:v>
                </c:pt>
              </c:strCache>
            </c:strRef>
          </c:tx>
          <c:spPr>
            <a:solidFill>
              <a:schemeClr val="accent2"/>
            </a:solidFill>
            <a:ln>
              <a:noFill/>
            </a:ln>
            <a:effectLst/>
          </c:spPr>
          <c:invertIfNegative val="0"/>
          <c:val>
            <c:numRef>
              <c:f>'[vlk propočty pův.xlsx]List1'!$D$2:$D$60</c:f>
              <c:numCache>
                <c:formatCode>0.00</c:formatCode>
                <c:ptCount val="59"/>
                <c:pt idx="0">
                  <c:v>0</c:v>
                </c:pt>
                <c:pt idx="1">
                  <c:v>0</c:v>
                </c:pt>
                <c:pt idx="2">
                  <c:v>0</c:v>
                </c:pt>
                <c:pt idx="3">
                  <c:v>0</c:v>
                </c:pt>
                <c:pt idx="4">
                  <c:v>1</c:v>
                </c:pt>
                <c:pt idx="5">
                  <c:v>0</c:v>
                </c:pt>
                <c:pt idx="6">
                  <c:v>4.4400000000000004</c:v>
                </c:pt>
                <c:pt idx="7">
                  <c:v>1.5</c:v>
                </c:pt>
                <c:pt idx="8">
                  <c:v>0</c:v>
                </c:pt>
                <c:pt idx="9">
                  <c:v>0</c:v>
                </c:pt>
                <c:pt idx="10">
                  <c:v>0</c:v>
                </c:pt>
                <c:pt idx="11">
                  <c:v>0</c:v>
                </c:pt>
                <c:pt idx="12">
                  <c:v>4</c:v>
                </c:pt>
                <c:pt idx="13">
                  <c:v>1.9000000000000004</c:v>
                </c:pt>
                <c:pt idx="14">
                  <c:v>0</c:v>
                </c:pt>
                <c:pt idx="15">
                  <c:v>0</c:v>
                </c:pt>
                <c:pt idx="16">
                  <c:v>7</c:v>
                </c:pt>
                <c:pt idx="17">
                  <c:v>0</c:v>
                </c:pt>
                <c:pt idx="18">
                  <c:v>0</c:v>
                </c:pt>
                <c:pt idx="19">
                  <c:v>0</c:v>
                </c:pt>
                <c:pt idx="20">
                  <c:v>1</c:v>
                </c:pt>
                <c:pt idx="21">
                  <c:v>5.37</c:v>
                </c:pt>
                <c:pt idx="22">
                  <c:v>9.5</c:v>
                </c:pt>
                <c:pt idx="23">
                  <c:v>2</c:v>
                </c:pt>
                <c:pt idx="24">
                  <c:v>3.8000000000000007</c:v>
                </c:pt>
                <c:pt idx="25">
                  <c:v>13</c:v>
                </c:pt>
                <c:pt idx="26">
                  <c:v>0</c:v>
                </c:pt>
                <c:pt idx="27">
                  <c:v>13</c:v>
                </c:pt>
                <c:pt idx="28">
                  <c:v>0</c:v>
                </c:pt>
                <c:pt idx="29">
                  <c:v>0</c:v>
                </c:pt>
                <c:pt idx="30">
                  <c:v>1</c:v>
                </c:pt>
                <c:pt idx="31">
                  <c:v>0</c:v>
                </c:pt>
                <c:pt idx="32">
                  <c:v>1</c:v>
                </c:pt>
                <c:pt idx="33">
                  <c:v>0</c:v>
                </c:pt>
                <c:pt idx="34">
                  <c:v>13</c:v>
                </c:pt>
                <c:pt idx="35">
                  <c:v>20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20</c:v>
                </c:pt>
                <c:pt idx="50">
                  <c:v>37</c:v>
                </c:pt>
                <c:pt idx="51">
                  <c:v>0</c:v>
                </c:pt>
                <c:pt idx="52">
                  <c:v>0</c:v>
                </c:pt>
                <c:pt idx="53">
                  <c:v>0</c:v>
                </c:pt>
                <c:pt idx="54">
                  <c:v>0</c:v>
                </c:pt>
                <c:pt idx="55">
                  <c:v>0</c:v>
                </c:pt>
                <c:pt idx="56">
                  <c:v>0</c:v>
                </c:pt>
                <c:pt idx="57">
                  <c:v>0</c:v>
                </c:pt>
                <c:pt idx="58">
                  <c:v>149</c:v>
                </c:pt>
              </c:numCache>
            </c:numRef>
          </c:val>
          <c:extLst>
            <c:ext xmlns:c16="http://schemas.microsoft.com/office/drawing/2014/chart" uri="{C3380CC4-5D6E-409C-BE32-E72D297353CC}">
              <c16:uniqueId val="{00000001-2384-46D4-B14A-E04095BD01C4}"/>
            </c:ext>
          </c:extLst>
        </c:ser>
        <c:dLbls>
          <c:showLegendKey val="0"/>
          <c:showVal val="0"/>
          <c:showCatName val="0"/>
          <c:showSerName val="0"/>
          <c:showPercent val="0"/>
          <c:showBubbleSize val="0"/>
        </c:dLbls>
        <c:gapWidth val="50"/>
        <c:overlap val="100"/>
        <c:axId val="157478272"/>
        <c:axId val="165873152"/>
      </c:barChart>
      <c:lineChart>
        <c:grouping val="standard"/>
        <c:varyColors val="0"/>
        <c:ser>
          <c:idx val="2"/>
          <c:order val="2"/>
          <c:tx>
            <c:strRef>
              <c:f>'[vlk propočty pův.xlsx]List1'!$E$1</c:f>
              <c:strCache>
                <c:ptCount val="1"/>
                <c:pt idx="0">
                  <c:v>Počet VDJ (ovce, kozy, skot)</c:v>
                </c:pt>
              </c:strCache>
            </c:strRef>
          </c:tx>
          <c:spPr>
            <a:ln w="28575" cap="rnd">
              <a:solidFill>
                <a:schemeClr val="accent4"/>
              </a:solidFill>
              <a:round/>
            </a:ln>
            <a:effectLst/>
          </c:spPr>
          <c:marker>
            <c:symbol val="none"/>
          </c:marker>
          <c:val>
            <c:numRef>
              <c:f>'[vlk propočty pův.xlsx]List1'!$E$2:$E$60</c:f>
              <c:numCache>
                <c:formatCode>General</c:formatCode>
                <c:ptCount val="59"/>
                <c:pt idx="0">
                  <c:v>3.65</c:v>
                </c:pt>
                <c:pt idx="1">
                  <c:v>2.1</c:v>
                </c:pt>
                <c:pt idx="2">
                  <c:v>3</c:v>
                </c:pt>
                <c:pt idx="3">
                  <c:v>2.4</c:v>
                </c:pt>
                <c:pt idx="4">
                  <c:v>2.8499999999999996</c:v>
                </c:pt>
                <c:pt idx="5">
                  <c:v>3.4499999999999997</c:v>
                </c:pt>
                <c:pt idx="6">
                  <c:v>3.4499999999999997</c:v>
                </c:pt>
                <c:pt idx="7">
                  <c:v>6</c:v>
                </c:pt>
                <c:pt idx="8">
                  <c:v>4.5</c:v>
                </c:pt>
                <c:pt idx="9">
                  <c:v>10.75</c:v>
                </c:pt>
                <c:pt idx="10">
                  <c:v>3</c:v>
                </c:pt>
                <c:pt idx="11">
                  <c:v>6.45</c:v>
                </c:pt>
                <c:pt idx="12">
                  <c:v>9</c:v>
                </c:pt>
                <c:pt idx="13">
                  <c:v>4.1999999999999993</c:v>
                </c:pt>
                <c:pt idx="14">
                  <c:v>9.6499999999999986</c:v>
                </c:pt>
                <c:pt idx="15">
                  <c:v>4.2</c:v>
                </c:pt>
                <c:pt idx="16">
                  <c:v>3.9</c:v>
                </c:pt>
                <c:pt idx="17">
                  <c:v>6.45</c:v>
                </c:pt>
                <c:pt idx="18">
                  <c:v>13.1</c:v>
                </c:pt>
                <c:pt idx="19">
                  <c:v>10.5</c:v>
                </c:pt>
                <c:pt idx="20">
                  <c:v>7.1999999999999993</c:v>
                </c:pt>
                <c:pt idx="21">
                  <c:v>7.95</c:v>
                </c:pt>
                <c:pt idx="22">
                  <c:v>5.25</c:v>
                </c:pt>
                <c:pt idx="23">
                  <c:v>5.55</c:v>
                </c:pt>
                <c:pt idx="24">
                  <c:v>7.5</c:v>
                </c:pt>
                <c:pt idx="25">
                  <c:v>15.200000000000001</c:v>
                </c:pt>
                <c:pt idx="26">
                  <c:v>9.15</c:v>
                </c:pt>
                <c:pt idx="27">
                  <c:v>25</c:v>
                </c:pt>
                <c:pt idx="28">
                  <c:v>15.3</c:v>
                </c:pt>
                <c:pt idx="29">
                  <c:v>9.75</c:v>
                </c:pt>
                <c:pt idx="30">
                  <c:v>13.35</c:v>
                </c:pt>
                <c:pt idx="31">
                  <c:v>21</c:v>
                </c:pt>
                <c:pt idx="32">
                  <c:v>12.75</c:v>
                </c:pt>
                <c:pt idx="33">
                  <c:v>25</c:v>
                </c:pt>
                <c:pt idx="34">
                  <c:v>12.8</c:v>
                </c:pt>
                <c:pt idx="35">
                  <c:v>24.5</c:v>
                </c:pt>
                <c:pt idx="36">
                  <c:v>25.5</c:v>
                </c:pt>
                <c:pt idx="37">
                  <c:v>18</c:v>
                </c:pt>
                <c:pt idx="38">
                  <c:v>120</c:v>
                </c:pt>
                <c:pt idx="39">
                  <c:v>25.299999999999997</c:v>
                </c:pt>
                <c:pt idx="40">
                  <c:v>12.75</c:v>
                </c:pt>
                <c:pt idx="41">
                  <c:v>19.649999999999999</c:v>
                </c:pt>
                <c:pt idx="42">
                  <c:v>18.3</c:v>
                </c:pt>
                <c:pt idx="43">
                  <c:v>15.3</c:v>
                </c:pt>
                <c:pt idx="44">
                  <c:v>13</c:v>
                </c:pt>
                <c:pt idx="45">
                  <c:v>79.25</c:v>
                </c:pt>
                <c:pt idx="46">
                  <c:v>34</c:v>
                </c:pt>
                <c:pt idx="47">
                  <c:v>31.199999999999996</c:v>
                </c:pt>
                <c:pt idx="48">
                  <c:v>27</c:v>
                </c:pt>
                <c:pt idx="49">
                  <c:v>108.75</c:v>
                </c:pt>
                <c:pt idx="50">
                  <c:v>51.5</c:v>
                </c:pt>
                <c:pt idx="51">
                  <c:v>34.5</c:v>
                </c:pt>
                <c:pt idx="52">
                  <c:v>85.8</c:v>
                </c:pt>
                <c:pt idx="53">
                  <c:v>67.5</c:v>
                </c:pt>
                <c:pt idx="54">
                  <c:v>70</c:v>
                </c:pt>
                <c:pt idx="55">
                  <c:v>38.4</c:v>
                </c:pt>
                <c:pt idx="56">
                  <c:v>205.2</c:v>
                </c:pt>
                <c:pt idx="57">
                  <c:v>240</c:v>
                </c:pt>
                <c:pt idx="58">
                  <c:v>276.60000000000002</c:v>
                </c:pt>
              </c:numCache>
            </c:numRef>
          </c:val>
          <c:smooth val="0"/>
          <c:extLst>
            <c:ext xmlns:c16="http://schemas.microsoft.com/office/drawing/2014/chart" uri="{C3380CC4-5D6E-409C-BE32-E72D297353CC}">
              <c16:uniqueId val="{00000002-2384-46D4-B14A-E04095BD01C4}"/>
            </c:ext>
          </c:extLst>
        </c:ser>
        <c:dLbls>
          <c:showLegendKey val="0"/>
          <c:showVal val="0"/>
          <c:showCatName val="0"/>
          <c:showSerName val="0"/>
          <c:showPercent val="0"/>
          <c:showBubbleSize val="0"/>
        </c:dLbls>
        <c:marker val="1"/>
        <c:smooth val="0"/>
        <c:axId val="165910016"/>
        <c:axId val="165875072"/>
      </c:lineChart>
      <c:catAx>
        <c:axId val="157478272"/>
        <c:scaling>
          <c:orientation val="minMax"/>
        </c:scaling>
        <c:delete val="1"/>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Respondent</a:t>
                </a:r>
              </a:p>
            </c:rich>
          </c:tx>
          <c:overlay val="0"/>
          <c:spPr>
            <a:noFill/>
            <a:ln>
              <a:noFill/>
            </a:ln>
            <a:effectLst/>
          </c:spPr>
        </c:title>
        <c:majorTickMark val="none"/>
        <c:minorTickMark val="none"/>
        <c:tickLblPos val="nextTo"/>
        <c:crossAx val="165873152"/>
        <c:crosses val="autoZero"/>
        <c:auto val="1"/>
        <c:lblAlgn val="ctr"/>
        <c:lblOffset val="100"/>
        <c:noMultiLvlLbl val="0"/>
      </c:catAx>
      <c:valAx>
        <c:axId val="16587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Výměra [ha]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7478272"/>
        <c:crosses val="autoZero"/>
        <c:crossBetween val="between"/>
      </c:valAx>
      <c:valAx>
        <c:axId val="16587507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Počet velkých dobytčích jednotek [VDJ]</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5910016"/>
        <c:crosses val="max"/>
        <c:crossBetween val="between"/>
      </c:valAx>
      <c:catAx>
        <c:axId val="165910016"/>
        <c:scaling>
          <c:orientation val="minMax"/>
        </c:scaling>
        <c:delete val="1"/>
        <c:axPos val="b"/>
        <c:majorTickMark val="out"/>
        <c:minorTickMark val="none"/>
        <c:tickLblPos val="nextTo"/>
        <c:crossAx val="165875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57102674734568"/>
          <c:y val="3.0032284925423283E-2"/>
          <c:w val="0.4600883764942833"/>
          <c:h val="0.9677647436927526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C9-4DBF-8031-93735623D4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C9-4DBF-8031-93735623D4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C9-4DBF-8031-93735623D4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C9-4DBF-8031-93735623D4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C9-4DBF-8031-93735623D4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C9-4DBF-8031-93735623D40A}"/>
              </c:ext>
            </c:extLst>
          </c:dPt>
          <c:dLbls>
            <c:dLbl>
              <c:idx val="0"/>
              <c:layout>
                <c:manualLayout>
                  <c:x val="-8.8193576388888896E-3"/>
                  <c:y val="9.2755432111298487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15:layout>
                    <c:manualLayout>
                      <c:w val="7.7236284722222201E-2"/>
                      <c:h val="0.13145523104777246"/>
                    </c:manualLayout>
                  </c15:layout>
                </c:ext>
                <c:ext xmlns:c16="http://schemas.microsoft.com/office/drawing/2014/chart" uri="{C3380CC4-5D6E-409C-BE32-E72D297353CC}">
                  <c16:uniqueId val="{00000001-0BC9-4DBF-8031-93735623D40A}"/>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BC9-4DBF-8031-93735623D40A}"/>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0BC9-4DBF-8031-93735623D40A}"/>
                </c:ext>
              </c:extLst>
            </c:dLbl>
            <c:dLbl>
              <c:idx val="3"/>
              <c:layout>
                <c:manualLayout>
                  <c:x val="0.25356240613253"/>
                  <c:y val="-5.160365506259769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9-4DBF-8031-93735623D40A}"/>
                </c:ext>
              </c:extLst>
            </c:dLbl>
            <c:dLbl>
              <c:idx val="4"/>
              <c:layout>
                <c:manualLayout>
                  <c:x val="0.235923048207728"/>
                  <c:y val="9.27599959096022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C9-4DBF-8031-93735623D40A}"/>
                </c:ext>
              </c:extLst>
            </c:dLbl>
            <c:dLbl>
              <c:idx val="5"/>
              <c:layout>
                <c:manualLayout>
                  <c:x val="0.24033301790969624"/>
                  <c:y val="2.31947467605510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C9-4DBF-8031-93735623D4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'[vlk propočty.xlsx]List2'!$H$66:$H$71</c:f>
              <c:strCache>
                <c:ptCount val="6"/>
                <c:pt idx="0">
                  <c:v>ovce</c:v>
                </c:pt>
                <c:pt idx="1">
                  <c:v>skot</c:v>
                </c:pt>
                <c:pt idx="2">
                  <c:v>kozy</c:v>
                </c:pt>
                <c:pt idx="3">
                  <c:v>koně</c:v>
                </c:pt>
                <c:pt idx="4">
                  <c:v>osli</c:v>
                </c:pt>
                <c:pt idx="5">
                  <c:v>lamy</c:v>
                </c:pt>
              </c:strCache>
            </c:strRef>
          </c:cat>
          <c:val>
            <c:numRef>
              <c:f>'[vlk propočty.xlsx]List2'!$I$66:$I$71</c:f>
              <c:numCache>
                <c:formatCode>General</c:formatCode>
                <c:ptCount val="6"/>
                <c:pt idx="0">
                  <c:v>7493</c:v>
                </c:pt>
                <c:pt idx="1">
                  <c:v>944</c:v>
                </c:pt>
                <c:pt idx="2">
                  <c:v>660</c:v>
                </c:pt>
                <c:pt idx="3">
                  <c:v>95</c:v>
                </c:pt>
                <c:pt idx="4">
                  <c:v>5</c:v>
                </c:pt>
                <c:pt idx="5">
                  <c:v>5</c:v>
                </c:pt>
              </c:numCache>
            </c:numRef>
          </c:val>
          <c:extLst>
            <c:ext xmlns:c16="http://schemas.microsoft.com/office/drawing/2014/chart" uri="{C3380CC4-5D6E-409C-BE32-E72D297353CC}">
              <c16:uniqueId val="{0000000C-0BC9-4DBF-8031-93735623D40A}"/>
            </c:ext>
          </c:extLst>
        </c:ser>
        <c:dLbls>
          <c:showLegendKey val="0"/>
          <c:showVal val="0"/>
          <c:showCatName val="0"/>
          <c:showSerName val="0"/>
          <c:showPercent val="0"/>
          <c:showBubbleSize val="0"/>
          <c:showLeaderLines val="1"/>
        </c:dLbls>
        <c:firstSliceAng val="0"/>
        <c:holeSize val="6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'[Zvýšené náklady na organizaci pastvy v oblastech s výskytem vlka obecného(1-59).xlsx]PES - VÝPOČTY'!$D$65</c:f>
              <c:strCache>
                <c:ptCount val="1"/>
                <c:pt idx="0">
                  <c:v>Výměra pasených pozemků s opatřeními</c:v>
                </c:pt>
              </c:strCache>
            </c:strRef>
          </c:tx>
          <c:spPr>
            <a:solidFill>
              <a:schemeClr val="accent1"/>
            </a:solidFill>
            <a:ln>
              <a:noFill/>
            </a:ln>
            <a:effectLst/>
          </c:spPr>
          <c:invertIfNegative val="0"/>
          <c:val>
            <c:numRef>
              <c:f>'[Zvýšené náklady na organizaci pastvy v oblastech s výskytem vlka obecného(1-59).xlsx]PES - VÝPOČTY'!$D$66:$D$82</c:f>
              <c:numCache>
                <c:formatCode>General</c:formatCode>
                <c:ptCount val="17"/>
                <c:pt idx="0">
                  <c:v>3</c:v>
                </c:pt>
                <c:pt idx="1">
                  <c:v>6.08</c:v>
                </c:pt>
                <c:pt idx="2">
                  <c:v>6.8</c:v>
                </c:pt>
                <c:pt idx="3">
                  <c:v>6.63</c:v>
                </c:pt>
                <c:pt idx="4">
                  <c:v>7</c:v>
                </c:pt>
                <c:pt idx="5">
                  <c:v>19</c:v>
                </c:pt>
                <c:pt idx="6">
                  <c:v>24</c:v>
                </c:pt>
                <c:pt idx="7">
                  <c:v>25</c:v>
                </c:pt>
                <c:pt idx="8">
                  <c:v>25</c:v>
                </c:pt>
                <c:pt idx="9">
                  <c:v>32.5</c:v>
                </c:pt>
                <c:pt idx="10">
                  <c:v>34</c:v>
                </c:pt>
                <c:pt idx="11">
                  <c:v>35</c:v>
                </c:pt>
                <c:pt idx="12">
                  <c:v>50</c:v>
                </c:pt>
                <c:pt idx="13">
                  <c:v>102</c:v>
                </c:pt>
                <c:pt idx="14">
                  <c:v>130</c:v>
                </c:pt>
                <c:pt idx="15">
                  <c:v>165</c:v>
                </c:pt>
                <c:pt idx="16">
                  <c:v>211</c:v>
                </c:pt>
              </c:numCache>
            </c:numRef>
          </c:val>
          <c:extLst>
            <c:ext xmlns:c16="http://schemas.microsoft.com/office/drawing/2014/chart" uri="{C3380CC4-5D6E-409C-BE32-E72D297353CC}">
              <c16:uniqueId val="{00000000-CA5C-4299-A8FE-6E63006B55D7}"/>
            </c:ext>
          </c:extLst>
        </c:ser>
        <c:ser>
          <c:idx val="1"/>
          <c:order val="1"/>
          <c:tx>
            <c:strRef>
              <c:f>'[Zvýšené náklady na organizaci pastvy v oblastech s výskytem vlka obecného(1-59).xlsx]PES - VÝPOČTY'!$E$65</c:f>
              <c:strCache>
                <c:ptCount val="1"/>
                <c:pt idx="0">
                  <c:v>Výměra bez opatření</c:v>
                </c:pt>
              </c:strCache>
            </c:strRef>
          </c:tx>
          <c:spPr>
            <a:solidFill>
              <a:schemeClr val="accent2"/>
            </a:solidFill>
            <a:ln>
              <a:noFill/>
            </a:ln>
            <a:effectLst/>
          </c:spPr>
          <c:invertIfNegative val="0"/>
          <c:val>
            <c:numRef>
              <c:f>'[Zvýšené náklady na organizaci pastvy v oblastech s výskytem vlka obecného(1-59).xlsx]PES - VÝPOČTY'!$E$66:$E$82</c:f>
              <c:numCache>
                <c:formatCode>General</c:formatCode>
                <c:ptCount val="17"/>
                <c:pt idx="0">
                  <c:v>0</c:v>
                </c:pt>
                <c:pt idx="1">
                  <c:v>0</c:v>
                </c:pt>
                <c:pt idx="2">
                  <c:v>0</c:v>
                </c:pt>
                <c:pt idx="3">
                  <c:v>5.37</c:v>
                </c:pt>
                <c:pt idx="4">
                  <c:v>13</c:v>
                </c:pt>
                <c:pt idx="5">
                  <c:v>1</c:v>
                </c:pt>
                <c:pt idx="6">
                  <c:v>1</c:v>
                </c:pt>
                <c:pt idx="7">
                  <c:v>0</c:v>
                </c:pt>
                <c:pt idx="8">
                  <c:v>0</c:v>
                </c:pt>
                <c:pt idx="9">
                  <c:v>0</c:v>
                </c:pt>
                <c:pt idx="10">
                  <c:v>0</c:v>
                </c:pt>
                <c:pt idx="11">
                  <c:v>0</c:v>
                </c:pt>
                <c:pt idx="12">
                  <c:v>20</c:v>
                </c:pt>
                <c:pt idx="13">
                  <c:v>0</c:v>
                </c:pt>
                <c:pt idx="14">
                  <c:v>0</c:v>
                </c:pt>
                <c:pt idx="15">
                  <c:v>0</c:v>
                </c:pt>
                <c:pt idx="16">
                  <c:v>149</c:v>
                </c:pt>
              </c:numCache>
            </c:numRef>
          </c:val>
          <c:extLst>
            <c:ext xmlns:c16="http://schemas.microsoft.com/office/drawing/2014/chart" uri="{C3380CC4-5D6E-409C-BE32-E72D297353CC}">
              <c16:uniqueId val="{00000001-CA5C-4299-A8FE-6E63006B55D7}"/>
            </c:ext>
          </c:extLst>
        </c:ser>
        <c:dLbls>
          <c:showLegendKey val="0"/>
          <c:showVal val="0"/>
          <c:showCatName val="0"/>
          <c:showSerName val="0"/>
          <c:showPercent val="0"/>
          <c:showBubbleSize val="0"/>
        </c:dLbls>
        <c:gapWidth val="170"/>
        <c:overlap val="100"/>
        <c:axId val="250327808"/>
        <c:axId val="250329728"/>
      </c:barChart>
      <c:lineChart>
        <c:grouping val="standard"/>
        <c:varyColors val="0"/>
        <c:ser>
          <c:idx val="2"/>
          <c:order val="2"/>
          <c:tx>
            <c:strRef>
              <c:f>'[Zvýšené náklady na organizaci pastvy v oblastech s výskytem vlka obecného(1-59).xlsx]PES - VÝPOČTY'!$F$65</c:f>
              <c:strCache>
                <c:ptCount val="1"/>
                <c:pt idx="0">
                  <c:v>Počet VDJ (ovce, kozy, skot)</c:v>
                </c:pt>
              </c:strCache>
            </c:strRef>
          </c:tx>
          <c:spPr>
            <a:ln w="28575" cap="rnd">
              <a:solidFill>
                <a:schemeClr val="accent4"/>
              </a:solidFill>
              <a:round/>
            </a:ln>
            <a:effectLst/>
          </c:spPr>
          <c:marker>
            <c:symbol val="none"/>
          </c:marker>
          <c:val>
            <c:numRef>
              <c:f>'[Zvýšené náklady na organizaci pastvy v oblastech s výskytem vlka obecného(1-59).xlsx]PES - VÝPOČTY'!$F$66:$F$82</c:f>
              <c:numCache>
                <c:formatCode>General</c:formatCode>
                <c:ptCount val="17"/>
                <c:pt idx="0">
                  <c:v>2.1</c:v>
                </c:pt>
                <c:pt idx="1">
                  <c:v>3</c:v>
                </c:pt>
                <c:pt idx="2">
                  <c:v>6.45</c:v>
                </c:pt>
                <c:pt idx="3">
                  <c:v>7.95</c:v>
                </c:pt>
                <c:pt idx="4">
                  <c:v>25</c:v>
                </c:pt>
                <c:pt idx="5">
                  <c:v>13.35</c:v>
                </c:pt>
                <c:pt idx="6">
                  <c:v>12.75</c:v>
                </c:pt>
                <c:pt idx="7">
                  <c:v>25</c:v>
                </c:pt>
                <c:pt idx="8">
                  <c:v>25.5</c:v>
                </c:pt>
                <c:pt idx="9">
                  <c:v>19.649999999999999</c:v>
                </c:pt>
                <c:pt idx="10">
                  <c:v>18.3</c:v>
                </c:pt>
                <c:pt idx="11">
                  <c:v>13</c:v>
                </c:pt>
                <c:pt idx="12">
                  <c:v>108.75</c:v>
                </c:pt>
                <c:pt idx="13">
                  <c:v>34.5</c:v>
                </c:pt>
                <c:pt idx="14">
                  <c:v>85.8</c:v>
                </c:pt>
                <c:pt idx="15">
                  <c:v>67.5</c:v>
                </c:pt>
                <c:pt idx="16">
                  <c:v>276.60000000000002</c:v>
                </c:pt>
              </c:numCache>
            </c:numRef>
          </c:val>
          <c:smooth val="0"/>
          <c:extLst>
            <c:ext xmlns:c16="http://schemas.microsoft.com/office/drawing/2014/chart" uri="{C3380CC4-5D6E-409C-BE32-E72D297353CC}">
              <c16:uniqueId val="{00000002-CA5C-4299-A8FE-6E63006B55D7}"/>
            </c:ext>
          </c:extLst>
        </c:ser>
        <c:dLbls>
          <c:showLegendKey val="0"/>
          <c:showVal val="0"/>
          <c:showCatName val="0"/>
          <c:showSerName val="0"/>
          <c:showPercent val="0"/>
          <c:showBubbleSize val="0"/>
        </c:dLbls>
        <c:marker val="1"/>
        <c:smooth val="0"/>
        <c:axId val="250327808"/>
        <c:axId val="250329728"/>
      </c:lineChart>
      <c:lineChart>
        <c:grouping val="standard"/>
        <c:varyColors val="0"/>
        <c:ser>
          <c:idx val="3"/>
          <c:order val="3"/>
          <c:tx>
            <c:strRef>
              <c:f>'[Zvýšené náklady na organizaci pastvy v oblastech s výskytem vlka obecného(1-59).xlsx]PES - VÝPOČTY'!$G$65</c:f>
              <c:strCache>
                <c:ptCount val="1"/>
                <c:pt idx="0">
                  <c:v>Počet pasteveckých psů</c:v>
                </c:pt>
              </c:strCache>
            </c:strRef>
          </c:tx>
          <c:spPr>
            <a:ln w="28575" cap="rnd">
              <a:solidFill>
                <a:schemeClr val="accent3"/>
              </a:solidFill>
              <a:round/>
            </a:ln>
            <a:effectLst/>
          </c:spPr>
          <c:marker>
            <c:symbol val="none"/>
          </c:marker>
          <c:val>
            <c:numRef>
              <c:f>'[Zvýšené náklady na organizaci pastvy v oblastech s výskytem vlka obecného(1-59).xlsx]PES - VÝPOČTY'!$G$66:$G$82</c:f>
              <c:numCache>
                <c:formatCode>General</c:formatCode>
                <c:ptCount val="17"/>
                <c:pt idx="0">
                  <c:v>2</c:v>
                </c:pt>
                <c:pt idx="1">
                  <c:v>1</c:v>
                </c:pt>
                <c:pt idx="2">
                  <c:v>1</c:v>
                </c:pt>
                <c:pt idx="3">
                  <c:v>5</c:v>
                </c:pt>
                <c:pt idx="4">
                  <c:v>1</c:v>
                </c:pt>
                <c:pt idx="5">
                  <c:v>2</c:v>
                </c:pt>
                <c:pt idx="6">
                  <c:v>2</c:v>
                </c:pt>
                <c:pt idx="7">
                  <c:v>6</c:v>
                </c:pt>
                <c:pt idx="8">
                  <c:v>2</c:v>
                </c:pt>
                <c:pt idx="9">
                  <c:v>1</c:v>
                </c:pt>
                <c:pt idx="10">
                  <c:v>3</c:v>
                </c:pt>
                <c:pt idx="11">
                  <c:v>6</c:v>
                </c:pt>
                <c:pt idx="12">
                  <c:v>1</c:v>
                </c:pt>
                <c:pt idx="13">
                  <c:v>3</c:v>
                </c:pt>
                <c:pt idx="14">
                  <c:v>23</c:v>
                </c:pt>
                <c:pt idx="15">
                  <c:v>8</c:v>
                </c:pt>
                <c:pt idx="16">
                  <c:v>14</c:v>
                </c:pt>
              </c:numCache>
            </c:numRef>
          </c:val>
          <c:smooth val="0"/>
          <c:extLst>
            <c:ext xmlns:c16="http://schemas.microsoft.com/office/drawing/2014/chart" uri="{C3380CC4-5D6E-409C-BE32-E72D297353CC}">
              <c16:uniqueId val="{00000003-CA5C-4299-A8FE-6E63006B55D7}"/>
            </c:ext>
          </c:extLst>
        </c:ser>
        <c:dLbls>
          <c:showLegendKey val="0"/>
          <c:showVal val="0"/>
          <c:showCatName val="0"/>
          <c:showSerName val="0"/>
          <c:showPercent val="0"/>
          <c:showBubbleSize val="0"/>
        </c:dLbls>
        <c:marker val="1"/>
        <c:smooth val="0"/>
        <c:axId val="250337920"/>
        <c:axId val="250336000"/>
        <c:extLst>
          <c:ext xmlns:c15="http://schemas.microsoft.com/office/drawing/2012/chart" uri="{02D57815-91ED-43cb-92C2-25804820EDAC}">
            <c15:filteredLineSeries>
              <c15:ser>
                <c:idx val="4"/>
                <c:order val="4"/>
                <c:tx>
                  <c:strRef>
                    <c:extLst>
                      <c:ext uri="{02D57815-91ED-43cb-92C2-25804820EDAC}">
                        <c15:formulaRef>
                          <c15:sqref>'[Zvýšené náklady na organizaci pastvy v oblastech s výskytem vlka obecného(1-59).xlsx]PES - VÝPOČTY'!$H$65</c15:sqref>
                        </c15:formulaRef>
                      </c:ext>
                    </c:extLst>
                    <c:strCache>
                      <c:ptCount val="1"/>
                      <c:pt idx="0">
                        <c:v>zvířata (ks)</c:v>
                      </c:pt>
                    </c:strCache>
                  </c:strRef>
                </c:tx>
                <c:spPr>
                  <a:ln w="28575" cap="rnd">
                    <a:solidFill>
                      <a:schemeClr val="accent5"/>
                    </a:solidFill>
                    <a:round/>
                  </a:ln>
                  <a:effectLst/>
                </c:spPr>
                <c:marker>
                  <c:symbol val="none"/>
                </c:marker>
                <c:val>
                  <c:numRef>
                    <c:extLst>
                      <c:ext uri="{02D57815-91ED-43cb-92C2-25804820EDAC}">
                        <c15:formulaRef>
                          <c15:sqref>'[Zvýšené náklady na organizaci pastvy v oblastech s výskytem vlka obecného(1-59).xlsx]PES - VÝPOČTY'!$H$66:$H$82</c15:sqref>
                        </c15:formulaRef>
                      </c:ext>
                    </c:extLst>
                    <c:numCache>
                      <c:formatCode>General</c:formatCode>
                      <c:ptCount val="17"/>
                      <c:pt idx="0">
                        <c:v>14</c:v>
                      </c:pt>
                      <c:pt idx="1">
                        <c:v>20</c:v>
                      </c:pt>
                      <c:pt idx="2">
                        <c:v>43</c:v>
                      </c:pt>
                      <c:pt idx="3">
                        <c:v>43</c:v>
                      </c:pt>
                      <c:pt idx="4">
                        <c:v>58</c:v>
                      </c:pt>
                      <c:pt idx="5">
                        <c:v>89</c:v>
                      </c:pt>
                      <c:pt idx="6">
                        <c:v>85</c:v>
                      </c:pt>
                      <c:pt idx="7">
                        <c:v>110</c:v>
                      </c:pt>
                      <c:pt idx="8">
                        <c:v>170</c:v>
                      </c:pt>
                      <c:pt idx="9">
                        <c:v>131</c:v>
                      </c:pt>
                      <c:pt idx="10">
                        <c:v>122</c:v>
                      </c:pt>
                      <c:pt idx="11">
                        <c:v>81</c:v>
                      </c:pt>
                      <c:pt idx="12">
                        <c:v>459</c:v>
                      </c:pt>
                      <c:pt idx="13">
                        <c:v>230</c:v>
                      </c:pt>
                      <c:pt idx="14">
                        <c:v>367</c:v>
                      </c:pt>
                      <c:pt idx="15">
                        <c:v>450</c:v>
                      </c:pt>
                      <c:pt idx="16">
                        <c:v>1257</c:v>
                      </c:pt>
                    </c:numCache>
                  </c:numRef>
                </c:val>
                <c:smooth val="0"/>
                <c:extLst>
                  <c:ext xmlns:c16="http://schemas.microsoft.com/office/drawing/2014/chart" uri="{C3380CC4-5D6E-409C-BE32-E72D297353CC}">
                    <c16:uniqueId val="{00000004-CA5C-4299-A8FE-6E63006B55D7}"/>
                  </c:ext>
                </c:extLst>
              </c15:ser>
            </c15:filteredLineSeries>
          </c:ext>
        </c:extLst>
      </c:lineChart>
      <c:catAx>
        <c:axId val="250327808"/>
        <c:scaling>
          <c:orientation val="minMax"/>
        </c:scaling>
        <c:delete val="1"/>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Respondent</a:t>
                </a:r>
              </a:p>
            </c:rich>
          </c:tx>
          <c:overlay val="0"/>
          <c:spPr>
            <a:noFill/>
            <a:ln>
              <a:noFill/>
            </a:ln>
            <a:effectLst/>
          </c:spPr>
        </c:title>
        <c:majorTickMark val="none"/>
        <c:minorTickMark val="none"/>
        <c:tickLblPos val="nextTo"/>
        <c:crossAx val="250329728"/>
        <c:crosses val="autoZero"/>
        <c:auto val="1"/>
        <c:lblAlgn val="ctr"/>
        <c:lblOffset val="100"/>
        <c:noMultiLvlLbl val="0"/>
      </c:catAx>
      <c:valAx>
        <c:axId val="25032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Výměra [ha]</a:t>
                </a:r>
              </a:p>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Počet</a:t>
                </a:r>
                <a:r>
                  <a:rPr lang="cs-CZ" sz="900" baseline="0"/>
                  <a:t> velkých dobytčích jednotek [VDJ]</a:t>
                </a:r>
                <a:endParaRPr lang="cs-CZ" sz="9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50327808"/>
        <c:crosses val="autoZero"/>
        <c:crossBetween val="between"/>
      </c:valAx>
      <c:valAx>
        <c:axId val="25033600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sz="900"/>
                  <a:t>Počet psů [ks]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50337920"/>
        <c:crosses val="max"/>
        <c:crossBetween val="between"/>
      </c:valAx>
      <c:catAx>
        <c:axId val="250337920"/>
        <c:scaling>
          <c:orientation val="minMax"/>
        </c:scaling>
        <c:delete val="1"/>
        <c:axPos val="b"/>
        <c:majorTickMark val="out"/>
        <c:minorTickMark val="none"/>
        <c:tickLblPos val="nextTo"/>
        <c:crossAx val="250336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na ha</c:v>
          </c:tx>
          <c:spPr>
            <a:ln w="28575" cap="rnd">
              <a:solidFill>
                <a:schemeClr val="accent2"/>
              </a:solidFill>
              <a:round/>
            </a:ln>
            <a:effectLst/>
          </c:spPr>
          <c:marker>
            <c:symbol val="none"/>
          </c:marker>
          <c:cat>
            <c:numRef>
              <c:f>List3!$A$3:$A$502</c:f>
              <c:numCache>
                <c:formatCode>General</c:formatCode>
                <c:ptCount val="5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numCache>
            </c:numRef>
          </c:cat>
          <c:val>
            <c:numRef>
              <c:f>List3!$G$3:$G$202</c:f>
              <c:numCache>
                <c:formatCode>General</c:formatCode>
                <c:ptCount val="200"/>
                <c:pt idx="0">
                  <c:v>23000</c:v>
                </c:pt>
                <c:pt idx="1">
                  <c:v>22000</c:v>
                </c:pt>
                <c:pt idx="2">
                  <c:v>21100</c:v>
                </c:pt>
                <c:pt idx="3">
                  <c:v>20200</c:v>
                </c:pt>
                <c:pt idx="4">
                  <c:v>19300</c:v>
                </c:pt>
                <c:pt idx="5">
                  <c:v>18500</c:v>
                </c:pt>
                <c:pt idx="6">
                  <c:v>17700</c:v>
                </c:pt>
                <c:pt idx="7">
                  <c:v>16900</c:v>
                </c:pt>
                <c:pt idx="8">
                  <c:v>16200</c:v>
                </c:pt>
                <c:pt idx="9">
                  <c:v>15500</c:v>
                </c:pt>
                <c:pt idx="10">
                  <c:v>14800</c:v>
                </c:pt>
                <c:pt idx="11">
                  <c:v>14200</c:v>
                </c:pt>
                <c:pt idx="12">
                  <c:v>13600</c:v>
                </c:pt>
                <c:pt idx="13">
                  <c:v>13000</c:v>
                </c:pt>
                <c:pt idx="14">
                  <c:v>12400</c:v>
                </c:pt>
                <c:pt idx="15">
                  <c:v>11900</c:v>
                </c:pt>
                <c:pt idx="16">
                  <c:v>11400</c:v>
                </c:pt>
                <c:pt idx="17">
                  <c:v>10900</c:v>
                </c:pt>
                <c:pt idx="18">
                  <c:v>10400</c:v>
                </c:pt>
                <c:pt idx="19">
                  <c:v>10000</c:v>
                </c:pt>
                <c:pt idx="20">
                  <c:v>9500</c:v>
                </c:pt>
                <c:pt idx="21">
                  <c:v>9100</c:v>
                </c:pt>
                <c:pt idx="22">
                  <c:v>8700</c:v>
                </c:pt>
                <c:pt idx="23">
                  <c:v>8400</c:v>
                </c:pt>
                <c:pt idx="24">
                  <c:v>8000</c:v>
                </c:pt>
                <c:pt idx="25">
                  <c:v>7700</c:v>
                </c:pt>
                <c:pt idx="26">
                  <c:v>7300</c:v>
                </c:pt>
                <c:pt idx="27">
                  <c:v>7000</c:v>
                </c:pt>
                <c:pt idx="28">
                  <c:v>6700</c:v>
                </c:pt>
                <c:pt idx="29">
                  <c:v>6400</c:v>
                </c:pt>
                <c:pt idx="30">
                  <c:v>6100</c:v>
                </c:pt>
                <c:pt idx="31">
                  <c:v>5900</c:v>
                </c:pt>
                <c:pt idx="32">
                  <c:v>5600</c:v>
                </c:pt>
                <c:pt idx="33">
                  <c:v>5400</c:v>
                </c:pt>
                <c:pt idx="34">
                  <c:v>5200</c:v>
                </c:pt>
                <c:pt idx="35">
                  <c:v>4900</c:v>
                </c:pt>
                <c:pt idx="36">
                  <c:v>4900</c:v>
                </c:pt>
                <c:pt idx="37">
                  <c:v>4900</c:v>
                </c:pt>
                <c:pt idx="38">
                  <c:v>4900</c:v>
                </c:pt>
                <c:pt idx="39">
                  <c:v>4900</c:v>
                </c:pt>
                <c:pt idx="40">
                  <c:v>4900</c:v>
                </c:pt>
                <c:pt idx="41">
                  <c:v>4900</c:v>
                </c:pt>
                <c:pt idx="42">
                  <c:v>4900</c:v>
                </c:pt>
                <c:pt idx="43">
                  <c:v>4900</c:v>
                </c:pt>
                <c:pt idx="44">
                  <c:v>4900</c:v>
                </c:pt>
                <c:pt idx="45">
                  <c:v>4900</c:v>
                </c:pt>
                <c:pt idx="46">
                  <c:v>4900</c:v>
                </c:pt>
                <c:pt idx="47">
                  <c:v>4900</c:v>
                </c:pt>
                <c:pt idx="48">
                  <c:v>4900</c:v>
                </c:pt>
                <c:pt idx="49">
                  <c:v>4900</c:v>
                </c:pt>
                <c:pt idx="50">
                  <c:v>4900</c:v>
                </c:pt>
                <c:pt idx="51">
                  <c:v>4900</c:v>
                </c:pt>
                <c:pt idx="52">
                  <c:v>4900</c:v>
                </c:pt>
                <c:pt idx="53">
                  <c:v>4900</c:v>
                </c:pt>
                <c:pt idx="54">
                  <c:v>4900</c:v>
                </c:pt>
                <c:pt idx="55">
                  <c:v>4900</c:v>
                </c:pt>
                <c:pt idx="56">
                  <c:v>4900</c:v>
                </c:pt>
                <c:pt idx="57">
                  <c:v>4900</c:v>
                </c:pt>
                <c:pt idx="58">
                  <c:v>4900</c:v>
                </c:pt>
                <c:pt idx="59">
                  <c:v>4900</c:v>
                </c:pt>
                <c:pt idx="60">
                  <c:v>4900</c:v>
                </c:pt>
                <c:pt idx="61">
                  <c:v>4900</c:v>
                </c:pt>
                <c:pt idx="62">
                  <c:v>4900</c:v>
                </c:pt>
                <c:pt idx="63">
                  <c:v>4900</c:v>
                </c:pt>
                <c:pt idx="64">
                  <c:v>4900</c:v>
                </c:pt>
                <c:pt idx="65">
                  <c:v>4900</c:v>
                </c:pt>
                <c:pt idx="66">
                  <c:v>4900</c:v>
                </c:pt>
                <c:pt idx="67">
                  <c:v>4900</c:v>
                </c:pt>
                <c:pt idx="68">
                  <c:v>4900</c:v>
                </c:pt>
                <c:pt idx="69">
                  <c:v>4900</c:v>
                </c:pt>
                <c:pt idx="70">
                  <c:v>4900</c:v>
                </c:pt>
                <c:pt idx="71">
                  <c:v>4900</c:v>
                </c:pt>
                <c:pt idx="72">
                  <c:v>4900</c:v>
                </c:pt>
                <c:pt idx="73">
                  <c:v>4900</c:v>
                </c:pt>
                <c:pt idx="74">
                  <c:v>4900</c:v>
                </c:pt>
                <c:pt idx="75">
                  <c:v>4900</c:v>
                </c:pt>
                <c:pt idx="76">
                  <c:v>4900</c:v>
                </c:pt>
                <c:pt idx="77">
                  <c:v>4900</c:v>
                </c:pt>
                <c:pt idx="78">
                  <c:v>4900</c:v>
                </c:pt>
                <c:pt idx="79">
                  <c:v>4900</c:v>
                </c:pt>
                <c:pt idx="80">
                  <c:v>4900</c:v>
                </c:pt>
                <c:pt idx="81">
                  <c:v>4900</c:v>
                </c:pt>
                <c:pt idx="82">
                  <c:v>4900</c:v>
                </c:pt>
                <c:pt idx="83">
                  <c:v>4900</c:v>
                </c:pt>
                <c:pt idx="84">
                  <c:v>4900</c:v>
                </c:pt>
                <c:pt idx="85">
                  <c:v>4900</c:v>
                </c:pt>
                <c:pt idx="86">
                  <c:v>4900</c:v>
                </c:pt>
                <c:pt idx="87">
                  <c:v>4900</c:v>
                </c:pt>
                <c:pt idx="88">
                  <c:v>4900</c:v>
                </c:pt>
                <c:pt idx="89">
                  <c:v>4900</c:v>
                </c:pt>
                <c:pt idx="90">
                  <c:v>4900</c:v>
                </c:pt>
                <c:pt idx="91">
                  <c:v>4900</c:v>
                </c:pt>
                <c:pt idx="92">
                  <c:v>4900</c:v>
                </c:pt>
                <c:pt idx="93">
                  <c:v>4900</c:v>
                </c:pt>
                <c:pt idx="94">
                  <c:v>4900</c:v>
                </c:pt>
                <c:pt idx="95">
                  <c:v>4900</c:v>
                </c:pt>
                <c:pt idx="96">
                  <c:v>4900</c:v>
                </c:pt>
                <c:pt idx="97">
                  <c:v>4900</c:v>
                </c:pt>
                <c:pt idx="98">
                  <c:v>4900</c:v>
                </c:pt>
                <c:pt idx="99">
                  <c:v>4900</c:v>
                </c:pt>
                <c:pt idx="100">
                  <c:v>4900</c:v>
                </c:pt>
                <c:pt idx="101">
                  <c:v>4900</c:v>
                </c:pt>
                <c:pt idx="102">
                  <c:v>4900</c:v>
                </c:pt>
                <c:pt idx="103">
                  <c:v>4900</c:v>
                </c:pt>
                <c:pt idx="104">
                  <c:v>4900</c:v>
                </c:pt>
                <c:pt idx="105">
                  <c:v>4900</c:v>
                </c:pt>
                <c:pt idx="106">
                  <c:v>4900</c:v>
                </c:pt>
                <c:pt idx="107">
                  <c:v>4900</c:v>
                </c:pt>
                <c:pt idx="108">
                  <c:v>4900</c:v>
                </c:pt>
                <c:pt idx="109">
                  <c:v>4900</c:v>
                </c:pt>
                <c:pt idx="110">
                  <c:v>4900</c:v>
                </c:pt>
                <c:pt idx="111">
                  <c:v>4900</c:v>
                </c:pt>
                <c:pt idx="112">
                  <c:v>4900</c:v>
                </c:pt>
                <c:pt idx="113">
                  <c:v>4900</c:v>
                </c:pt>
                <c:pt idx="114">
                  <c:v>4900</c:v>
                </c:pt>
                <c:pt idx="115">
                  <c:v>4900</c:v>
                </c:pt>
                <c:pt idx="116">
                  <c:v>4900</c:v>
                </c:pt>
                <c:pt idx="117">
                  <c:v>4900</c:v>
                </c:pt>
                <c:pt idx="118">
                  <c:v>4900</c:v>
                </c:pt>
                <c:pt idx="119">
                  <c:v>4900</c:v>
                </c:pt>
                <c:pt idx="120">
                  <c:v>4900</c:v>
                </c:pt>
                <c:pt idx="121">
                  <c:v>4900</c:v>
                </c:pt>
                <c:pt idx="122">
                  <c:v>4900</c:v>
                </c:pt>
                <c:pt idx="123">
                  <c:v>4900</c:v>
                </c:pt>
                <c:pt idx="124">
                  <c:v>4900</c:v>
                </c:pt>
                <c:pt idx="125">
                  <c:v>4900</c:v>
                </c:pt>
                <c:pt idx="126">
                  <c:v>4900</c:v>
                </c:pt>
                <c:pt idx="127">
                  <c:v>4900</c:v>
                </c:pt>
                <c:pt idx="128">
                  <c:v>4900</c:v>
                </c:pt>
                <c:pt idx="129">
                  <c:v>4900</c:v>
                </c:pt>
                <c:pt idx="130">
                  <c:v>4900</c:v>
                </c:pt>
                <c:pt idx="131">
                  <c:v>4900</c:v>
                </c:pt>
                <c:pt idx="132">
                  <c:v>4900</c:v>
                </c:pt>
                <c:pt idx="133">
                  <c:v>4900</c:v>
                </c:pt>
                <c:pt idx="134">
                  <c:v>4900</c:v>
                </c:pt>
                <c:pt idx="135">
                  <c:v>4900</c:v>
                </c:pt>
                <c:pt idx="136">
                  <c:v>4900</c:v>
                </c:pt>
                <c:pt idx="137">
                  <c:v>4900</c:v>
                </c:pt>
                <c:pt idx="138">
                  <c:v>4900</c:v>
                </c:pt>
                <c:pt idx="139">
                  <c:v>4900</c:v>
                </c:pt>
                <c:pt idx="140">
                  <c:v>4900</c:v>
                </c:pt>
                <c:pt idx="141">
                  <c:v>4900</c:v>
                </c:pt>
                <c:pt idx="142">
                  <c:v>4900</c:v>
                </c:pt>
                <c:pt idx="143">
                  <c:v>4900</c:v>
                </c:pt>
                <c:pt idx="144">
                  <c:v>4900</c:v>
                </c:pt>
                <c:pt idx="145">
                  <c:v>4900</c:v>
                </c:pt>
                <c:pt idx="146">
                  <c:v>4900</c:v>
                </c:pt>
                <c:pt idx="147">
                  <c:v>4900</c:v>
                </c:pt>
                <c:pt idx="148">
                  <c:v>4900</c:v>
                </c:pt>
                <c:pt idx="149">
                  <c:v>4900</c:v>
                </c:pt>
                <c:pt idx="150">
                  <c:v>4900</c:v>
                </c:pt>
                <c:pt idx="151">
                  <c:v>4900</c:v>
                </c:pt>
                <c:pt idx="152">
                  <c:v>4900</c:v>
                </c:pt>
                <c:pt idx="153">
                  <c:v>4900</c:v>
                </c:pt>
                <c:pt idx="154">
                  <c:v>4900</c:v>
                </c:pt>
                <c:pt idx="155">
                  <c:v>4900</c:v>
                </c:pt>
                <c:pt idx="156">
                  <c:v>4900</c:v>
                </c:pt>
                <c:pt idx="157">
                  <c:v>4900</c:v>
                </c:pt>
                <c:pt idx="158">
                  <c:v>4900</c:v>
                </c:pt>
                <c:pt idx="159">
                  <c:v>4900</c:v>
                </c:pt>
                <c:pt idx="160">
                  <c:v>4900</c:v>
                </c:pt>
                <c:pt idx="161">
                  <c:v>4900</c:v>
                </c:pt>
                <c:pt idx="162">
                  <c:v>4900</c:v>
                </c:pt>
                <c:pt idx="163">
                  <c:v>4900</c:v>
                </c:pt>
                <c:pt idx="164">
                  <c:v>4900</c:v>
                </c:pt>
                <c:pt idx="165">
                  <c:v>4900</c:v>
                </c:pt>
                <c:pt idx="166">
                  <c:v>4900</c:v>
                </c:pt>
                <c:pt idx="167">
                  <c:v>4900</c:v>
                </c:pt>
                <c:pt idx="168">
                  <c:v>4900</c:v>
                </c:pt>
                <c:pt idx="169">
                  <c:v>4900</c:v>
                </c:pt>
                <c:pt idx="170">
                  <c:v>4900</c:v>
                </c:pt>
                <c:pt idx="171">
                  <c:v>4900</c:v>
                </c:pt>
                <c:pt idx="172">
                  <c:v>4900</c:v>
                </c:pt>
                <c:pt idx="173">
                  <c:v>4900</c:v>
                </c:pt>
                <c:pt idx="174">
                  <c:v>4900</c:v>
                </c:pt>
                <c:pt idx="175">
                  <c:v>4900</c:v>
                </c:pt>
                <c:pt idx="176">
                  <c:v>4900</c:v>
                </c:pt>
                <c:pt idx="177">
                  <c:v>4900</c:v>
                </c:pt>
                <c:pt idx="178">
                  <c:v>4900</c:v>
                </c:pt>
                <c:pt idx="179">
                  <c:v>4900</c:v>
                </c:pt>
                <c:pt idx="180">
                  <c:v>4900</c:v>
                </c:pt>
                <c:pt idx="181">
                  <c:v>4900</c:v>
                </c:pt>
                <c:pt idx="182">
                  <c:v>4900</c:v>
                </c:pt>
                <c:pt idx="183">
                  <c:v>4900</c:v>
                </c:pt>
                <c:pt idx="184">
                  <c:v>4900</c:v>
                </c:pt>
                <c:pt idx="185">
                  <c:v>4900</c:v>
                </c:pt>
                <c:pt idx="186">
                  <c:v>4900</c:v>
                </c:pt>
                <c:pt idx="187">
                  <c:v>4900</c:v>
                </c:pt>
                <c:pt idx="188">
                  <c:v>4900</c:v>
                </c:pt>
                <c:pt idx="189">
                  <c:v>4900</c:v>
                </c:pt>
                <c:pt idx="190">
                  <c:v>4900</c:v>
                </c:pt>
                <c:pt idx="191">
                  <c:v>4900</c:v>
                </c:pt>
                <c:pt idx="192">
                  <c:v>4900</c:v>
                </c:pt>
                <c:pt idx="193">
                  <c:v>4900</c:v>
                </c:pt>
                <c:pt idx="194">
                  <c:v>4900</c:v>
                </c:pt>
                <c:pt idx="195">
                  <c:v>4900</c:v>
                </c:pt>
                <c:pt idx="196">
                  <c:v>4900</c:v>
                </c:pt>
                <c:pt idx="197">
                  <c:v>4900</c:v>
                </c:pt>
                <c:pt idx="198">
                  <c:v>4900</c:v>
                </c:pt>
                <c:pt idx="199">
                  <c:v>4900</c:v>
                </c:pt>
              </c:numCache>
            </c:numRef>
          </c:val>
          <c:smooth val="0"/>
          <c:extLst>
            <c:ext xmlns:c16="http://schemas.microsoft.com/office/drawing/2014/chart" uri="{C3380CC4-5D6E-409C-BE32-E72D297353CC}">
              <c16:uniqueId val="{00000000-7475-488A-9A80-D3ABE70496F3}"/>
            </c:ext>
          </c:extLst>
        </c:ser>
        <c:ser>
          <c:idx val="0"/>
          <c:order val="1"/>
          <c:tx>
            <c:v>na VDJ</c:v>
          </c:tx>
          <c:spPr>
            <a:ln w="28575" cap="rnd">
              <a:solidFill>
                <a:schemeClr val="accent1"/>
              </a:solidFill>
              <a:round/>
            </a:ln>
            <a:effectLst/>
          </c:spPr>
          <c:marker>
            <c:symbol val="none"/>
          </c:marker>
          <c:val>
            <c:numRef>
              <c:f>List3!$H$3:$H$202</c:f>
              <c:numCache>
                <c:formatCode>General</c:formatCode>
                <c:ptCount val="200"/>
                <c:pt idx="0">
                  <c:v>26300</c:v>
                </c:pt>
                <c:pt idx="1">
                  <c:v>25200</c:v>
                </c:pt>
                <c:pt idx="2">
                  <c:v>24200</c:v>
                </c:pt>
                <c:pt idx="3">
                  <c:v>23200</c:v>
                </c:pt>
                <c:pt idx="4">
                  <c:v>22300</c:v>
                </c:pt>
                <c:pt idx="5">
                  <c:v>21400</c:v>
                </c:pt>
                <c:pt idx="6">
                  <c:v>20500</c:v>
                </c:pt>
                <c:pt idx="7">
                  <c:v>19700</c:v>
                </c:pt>
                <c:pt idx="8">
                  <c:v>18900</c:v>
                </c:pt>
                <c:pt idx="9">
                  <c:v>18100</c:v>
                </c:pt>
                <c:pt idx="10">
                  <c:v>17400</c:v>
                </c:pt>
                <c:pt idx="11">
                  <c:v>16700</c:v>
                </c:pt>
                <c:pt idx="12">
                  <c:v>16000</c:v>
                </c:pt>
                <c:pt idx="13">
                  <c:v>15300</c:v>
                </c:pt>
                <c:pt idx="14">
                  <c:v>14700</c:v>
                </c:pt>
                <c:pt idx="15">
                  <c:v>14100</c:v>
                </c:pt>
                <c:pt idx="16">
                  <c:v>13500</c:v>
                </c:pt>
                <c:pt idx="17">
                  <c:v>13000</c:v>
                </c:pt>
                <c:pt idx="18">
                  <c:v>12500</c:v>
                </c:pt>
                <c:pt idx="19">
                  <c:v>12000</c:v>
                </c:pt>
                <c:pt idx="20">
                  <c:v>11500</c:v>
                </c:pt>
                <c:pt idx="21">
                  <c:v>11000</c:v>
                </c:pt>
                <c:pt idx="22">
                  <c:v>10600</c:v>
                </c:pt>
                <c:pt idx="23">
                  <c:v>10100</c:v>
                </c:pt>
                <c:pt idx="24">
                  <c:v>9700</c:v>
                </c:pt>
                <c:pt idx="25">
                  <c:v>9300</c:v>
                </c:pt>
                <c:pt idx="26">
                  <c:v>8900</c:v>
                </c:pt>
                <c:pt idx="27">
                  <c:v>8600</c:v>
                </c:pt>
                <c:pt idx="28">
                  <c:v>8200</c:v>
                </c:pt>
                <c:pt idx="29">
                  <c:v>7900</c:v>
                </c:pt>
                <c:pt idx="30">
                  <c:v>7600</c:v>
                </c:pt>
                <c:pt idx="31">
                  <c:v>7300</c:v>
                </c:pt>
                <c:pt idx="32">
                  <c:v>7000</c:v>
                </c:pt>
                <c:pt idx="33">
                  <c:v>6700</c:v>
                </c:pt>
                <c:pt idx="34">
                  <c:v>6400</c:v>
                </c:pt>
                <c:pt idx="35">
                  <c:v>6200</c:v>
                </c:pt>
                <c:pt idx="36">
                  <c:v>5900</c:v>
                </c:pt>
                <c:pt idx="37">
                  <c:v>5700</c:v>
                </c:pt>
                <c:pt idx="38">
                  <c:v>5400</c:v>
                </c:pt>
                <c:pt idx="39">
                  <c:v>5200</c:v>
                </c:pt>
                <c:pt idx="40">
                  <c:v>5000</c:v>
                </c:pt>
                <c:pt idx="41">
                  <c:v>4900</c:v>
                </c:pt>
                <c:pt idx="42">
                  <c:v>4900</c:v>
                </c:pt>
                <c:pt idx="43">
                  <c:v>4900</c:v>
                </c:pt>
                <c:pt idx="44">
                  <c:v>4900</c:v>
                </c:pt>
                <c:pt idx="45">
                  <c:v>4900</c:v>
                </c:pt>
                <c:pt idx="46">
                  <c:v>4900</c:v>
                </c:pt>
                <c:pt idx="47">
                  <c:v>4900</c:v>
                </c:pt>
                <c:pt idx="48">
                  <c:v>4900</c:v>
                </c:pt>
                <c:pt idx="49">
                  <c:v>4900</c:v>
                </c:pt>
                <c:pt idx="50">
                  <c:v>4900</c:v>
                </c:pt>
                <c:pt idx="51">
                  <c:v>4900</c:v>
                </c:pt>
                <c:pt idx="52">
                  <c:v>4900</c:v>
                </c:pt>
                <c:pt idx="53">
                  <c:v>4900</c:v>
                </c:pt>
                <c:pt idx="54">
                  <c:v>4900</c:v>
                </c:pt>
                <c:pt idx="55">
                  <c:v>4900</c:v>
                </c:pt>
                <c:pt idx="56">
                  <c:v>4900</c:v>
                </c:pt>
                <c:pt idx="57">
                  <c:v>4900</c:v>
                </c:pt>
                <c:pt idx="58">
                  <c:v>4900</c:v>
                </c:pt>
                <c:pt idx="59">
                  <c:v>4900</c:v>
                </c:pt>
                <c:pt idx="60">
                  <c:v>4900</c:v>
                </c:pt>
                <c:pt idx="61">
                  <c:v>4900</c:v>
                </c:pt>
                <c:pt idx="62">
                  <c:v>4900</c:v>
                </c:pt>
                <c:pt idx="63">
                  <c:v>4900</c:v>
                </c:pt>
                <c:pt idx="64">
                  <c:v>4900</c:v>
                </c:pt>
                <c:pt idx="65">
                  <c:v>4900</c:v>
                </c:pt>
                <c:pt idx="66">
                  <c:v>4900</c:v>
                </c:pt>
                <c:pt idx="67">
                  <c:v>4900</c:v>
                </c:pt>
                <c:pt idx="68">
                  <c:v>4900</c:v>
                </c:pt>
                <c:pt idx="69">
                  <c:v>4900</c:v>
                </c:pt>
                <c:pt idx="70">
                  <c:v>4900</c:v>
                </c:pt>
                <c:pt idx="71">
                  <c:v>4900</c:v>
                </c:pt>
                <c:pt idx="72">
                  <c:v>4900</c:v>
                </c:pt>
                <c:pt idx="73">
                  <c:v>4900</c:v>
                </c:pt>
                <c:pt idx="74">
                  <c:v>4900</c:v>
                </c:pt>
                <c:pt idx="75">
                  <c:v>4900</c:v>
                </c:pt>
                <c:pt idx="76">
                  <c:v>4900</c:v>
                </c:pt>
                <c:pt idx="77">
                  <c:v>4900</c:v>
                </c:pt>
                <c:pt idx="78">
                  <c:v>4900</c:v>
                </c:pt>
                <c:pt idx="79">
                  <c:v>4900</c:v>
                </c:pt>
                <c:pt idx="80">
                  <c:v>4900</c:v>
                </c:pt>
                <c:pt idx="81">
                  <c:v>4900</c:v>
                </c:pt>
                <c:pt idx="82">
                  <c:v>4900</c:v>
                </c:pt>
                <c:pt idx="83">
                  <c:v>4900</c:v>
                </c:pt>
                <c:pt idx="84">
                  <c:v>4900</c:v>
                </c:pt>
                <c:pt idx="85">
                  <c:v>4900</c:v>
                </c:pt>
                <c:pt idx="86">
                  <c:v>4900</c:v>
                </c:pt>
                <c:pt idx="87">
                  <c:v>4900</c:v>
                </c:pt>
                <c:pt idx="88">
                  <c:v>4900</c:v>
                </c:pt>
                <c:pt idx="89">
                  <c:v>4900</c:v>
                </c:pt>
                <c:pt idx="90">
                  <c:v>4900</c:v>
                </c:pt>
                <c:pt idx="91">
                  <c:v>4900</c:v>
                </c:pt>
                <c:pt idx="92">
                  <c:v>4900</c:v>
                </c:pt>
                <c:pt idx="93">
                  <c:v>4900</c:v>
                </c:pt>
                <c:pt idx="94">
                  <c:v>4900</c:v>
                </c:pt>
                <c:pt idx="95">
                  <c:v>4900</c:v>
                </c:pt>
                <c:pt idx="96">
                  <c:v>4900</c:v>
                </c:pt>
                <c:pt idx="97">
                  <c:v>4900</c:v>
                </c:pt>
                <c:pt idx="98">
                  <c:v>4900</c:v>
                </c:pt>
                <c:pt idx="99">
                  <c:v>4900</c:v>
                </c:pt>
                <c:pt idx="100">
                  <c:v>4900</c:v>
                </c:pt>
                <c:pt idx="101">
                  <c:v>4900</c:v>
                </c:pt>
                <c:pt idx="102">
                  <c:v>4900</c:v>
                </c:pt>
                <c:pt idx="103">
                  <c:v>4900</c:v>
                </c:pt>
                <c:pt idx="104">
                  <c:v>4900</c:v>
                </c:pt>
                <c:pt idx="105">
                  <c:v>4900</c:v>
                </c:pt>
                <c:pt idx="106">
                  <c:v>4900</c:v>
                </c:pt>
                <c:pt idx="107">
                  <c:v>4900</c:v>
                </c:pt>
                <c:pt idx="108">
                  <c:v>4900</c:v>
                </c:pt>
                <c:pt idx="109">
                  <c:v>4900</c:v>
                </c:pt>
                <c:pt idx="110">
                  <c:v>4900</c:v>
                </c:pt>
                <c:pt idx="111">
                  <c:v>4900</c:v>
                </c:pt>
                <c:pt idx="112">
                  <c:v>4900</c:v>
                </c:pt>
                <c:pt idx="113">
                  <c:v>4900</c:v>
                </c:pt>
                <c:pt idx="114">
                  <c:v>4900</c:v>
                </c:pt>
                <c:pt idx="115">
                  <c:v>4900</c:v>
                </c:pt>
                <c:pt idx="116">
                  <c:v>4900</c:v>
                </c:pt>
                <c:pt idx="117">
                  <c:v>4900</c:v>
                </c:pt>
                <c:pt idx="118">
                  <c:v>4900</c:v>
                </c:pt>
                <c:pt idx="119">
                  <c:v>4900</c:v>
                </c:pt>
                <c:pt idx="120">
                  <c:v>4900</c:v>
                </c:pt>
                <c:pt idx="121">
                  <c:v>4900</c:v>
                </c:pt>
                <c:pt idx="122">
                  <c:v>4900</c:v>
                </c:pt>
                <c:pt idx="123">
                  <c:v>4900</c:v>
                </c:pt>
                <c:pt idx="124">
                  <c:v>4900</c:v>
                </c:pt>
                <c:pt idx="125">
                  <c:v>4900</c:v>
                </c:pt>
                <c:pt idx="126">
                  <c:v>4900</c:v>
                </c:pt>
                <c:pt idx="127">
                  <c:v>4900</c:v>
                </c:pt>
                <c:pt idx="128">
                  <c:v>4900</c:v>
                </c:pt>
                <c:pt idx="129">
                  <c:v>4900</c:v>
                </c:pt>
                <c:pt idx="130">
                  <c:v>4900</c:v>
                </c:pt>
                <c:pt idx="131">
                  <c:v>4900</c:v>
                </c:pt>
                <c:pt idx="132">
                  <c:v>4900</c:v>
                </c:pt>
                <c:pt idx="133">
                  <c:v>4900</c:v>
                </c:pt>
                <c:pt idx="134">
                  <c:v>4900</c:v>
                </c:pt>
                <c:pt idx="135">
                  <c:v>4900</c:v>
                </c:pt>
                <c:pt idx="136">
                  <c:v>4900</c:v>
                </c:pt>
                <c:pt idx="137">
                  <c:v>4900</c:v>
                </c:pt>
                <c:pt idx="138">
                  <c:v>4900</c:v>
                </c:pt>
                <c:pt idx="139">
                  <c:v>4900</c:v>
                </c:pt>
                <c:pt idx="140">
                  <c:v>4900</c:v>
                </c:pt>
                <c:pt idx="141">
                  <c:v>4900</c:v>
                </c:pt>
                <c:pt idx="142">
                  <c:v>4900</c:v>
                </c:pt>
                <c:pt idx="143">
                  <c:v>4900</c:v>
                </c:pt>
                <c:pt idx="144">
                  <c:v>4900</c:v>
                </c:pt>
                <c:pt idx="145">
                  <c:v>4900</c:v>
                </c:pt>
                <c:pt idx="146">
                  <c:v>4900</c:v>
                </c:pt>
                <c:pt idx="147">
                  <c:v>4900</c:v>
                </c:pt>
                <c:pt idx="148">
                  <c:v>4900</c:v>
                </c:pt>
                <c:pt idx="149">
                  <c:v>4900</c:v>
                </c:pt>
                <c:pt idx="150">
                  <c:v>4900</c:v>
                </c:pt>
                <c:pt idx="151">
                  <c:v>4900</c:v>
                </c:pt>
                <c:pt idx="152">
                  <c:v>4900</c:v>
                </c:pt>
                <c:pt idx="153">
                  <c:v>4900</c:v>
                </c:pt>
                <c:pt idx="154">
                  <c:v>4900</c:v>
                </c:pt>
                <c:pt idx="155">
                  <c:v>4900</c:v>
                </c:pt>
                <c:pt idx="156">
                  <c:v>4900</c:v>
                </c:pt>
                <c:pt idx="157">
                  <c:v>4900</c:v>
                </c:pt>
                <c:pt idx="158">
                  <c:v>4900</c:v>
                </c:pt>
                <c:pt idx="159">
                  <c:v>4900</c:v>
                </c:pt>
                <c:pt idx="160">
                  <c:v>4900</c:v>
                </c:pt>
                <c:pt idx="161">
                  <c:v>4900</c:v>
                </c:pt>
                <c:pt idx="162">
                  <c:v>4900</c:v>
                </c:pt>
                <c:pt idx="163">
                  <c:v>4900</c:v>
                </c:pt>
                <c:pt idx="164">
                  <c:v>4900</c:v>
                </c:pt>
                <c:pt idx="165">
                  <c:v>4900</c:v>
                </c:pt>
                <c:pt idx="166">
                  <c:v>4900</c:v>
                </c:pt>
                <c:pt idx="167">
                  <c:v>4900</c:v>
                </c:pt>
                <c:pt idx="168">
                  <c:v>4900</c:v>
                </c:pt>
                <c:pt idx="169">
                  <c:v>4900</c:v>
                </c:pt>
                <c:pt idx="170">
                  <c:v>4900</c:v>
                </c:pt>
                <c:pt idx="171">
                  <c:v>4900</c:v>
                </c:pt>
                <c:pt idx="172">
                  <c:v>4900</c:v>
                </c:pt>
                <c:pt idx="173">
                  <c:v>4900</c:v>
                </c:pt>
                <c:pt idx="174">
                  <c:v>4900</c:v>
                </c:pt>
                <c:pt idx="175">
                  <c:v>4900</c:v>
                </c:pt>
                <c:pt idx="176">
                  <c:v>4900</c:v>
                </c:pt>
                <c:pt idx="177">
                  <c:v>4900</c:v>
                </c:pt>
                <c:pt idx="178">
                  <c:v>4900</c:v>
                </c:pt>
                <c:pt idx="179">
                  <c:v>4900</c:v>
                </c:pt>
                <c:pt idx="180">
                  <c:v>4900</c:v>
                </c:pt>
                <c:pt idx="181">
                  <c:v>4900</c:v>
                </c:pt>
                <c:pt idx="182">
                  <c:v>4900</c:v>
                </c:pt>
                <c:pt idx="183">
                  <c:v>4900</c:v>
                </c:pt>
                <c:pt idx="184">
                  <c:v>4900</c:v>
                </c:pt>
                <c:pt idx="185">
                  <c:v>4900</c:v>
                </c:pt>
                <c:pt idx="186">
                  <c:v>4900</c:v>
                </c:pt>
                <c:pt idx="187">
                  <c:v>4900</c:v>
                </c:pt>
                <c:pt idx="188">
                  <c:v>4900</c:v>
                </c:pt>
                <c:pt idx="189">
                  <c:v>4900</c:v>
                </c:pt>
                <c:pt idx="190">
                  <c:v>4900</c:v>
                </c:pt>
                <c:pt idx="191">
                  <c:v>4900</c:v>
                </c:pt>
                <c:pt idx="192">
                  <c:v>4900</c:v>
                </c:pt>
                <c:pt idx="193">
                  <c:v>4900</c:v>
                </c:pt>
                <c:pt idx="194">
                  <c:v>4900</c:v>
                </c:pt>
                <c:pt idx="195">
                  <c:v>4900</c:v>
                </c:pt>
                <c:pt idx="196">
                  <c:v>4900</c:v>
                </c:pt>
                <c:pt idx="197">
                  <c:v>4900</c:v>
                </c:pt>
                <c:pt idx="198">
                  <c:v>4900</c:v>
                </c:pt>
                <c:pt idx="199">
                  <c:v>4900</c:v>
                </c:pt>
              </c:numCache>
            </c:numRef>
          </c:val>
          <c:smooth val="0"/>
          <c:extLst>
            <c:ext xmlns:c16="http://schemas.microsoft.com/office/drawing/2014/chart" uri="{C3380CC4-5D6E-409C-BE32-E72D297353CC}">
              <c16:uniqueId val="{00000001-7475-488A-9A80-D3ABE70496F3}"/>
            </c:ext>
          </c:extLst>
        </c:ser>
        <c:ser>
          <c:idx val="2"/>
          <c:order val="2"/>
          <c:tx>
            <c:strRef>
              <c:f>List3!$I$2</c:f>
              <c:strCache>
                <c:ptCount val="1"/>
                <c:pt idx="0">
                  <c:v>sazba na ha bez hranice</c:v>
                </c:pt>
              </c:strCache>
            </c:strRef>
          </c:tx>
          <c:spPr>
            <a:ln w="28575" cap="rnd">
              <a:solidFill>
                <a:schemeClr val="accent2"/>
              </a:solidFill>
              <a:prstDash val="sysDot"/>
              <a:round/>
            </a:ln>
            <a:effectLst/>
          </c:spPr>
          <c:marker>
            <c:symbol val="none"/>
          </c:marker>
          <c:dLbls>
            <c:dLbl>
              <c:idx val="35"/>
              <c:layout>
                <c:manualLayout>
                  <c:x val="-5.9536934950385888E-2"/>
                  <c:y val="4.626708727655091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75-488A-9A80-D3ABE70496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List3!$I$3:$I$200</c:f>
              <c:numCache>
                <c:formatCode>General</c:formatCode>
                <c:ptCount val="198"/>
                <c:pt idx="0">
                  <c:v>23000</c:v>
                </c:pt>
                <c:pt idx="1">
                  <c:v>22000</c:v>
                </c:pt>
                <c:pt idx="2">
                  <c:v>21100</c:v>
                </c:pt>
                <c:pt idx="3">
                  <c:v>20200</c:v>
                </c:pt>
                <c:pt idx="4">
                  <c:v>19300</c:v>
                </c:pt>
                <c:pt idx="5">
                  <c:v>18500</c:v>
                </c:pt>
                <c:pt idx="6">
                  <c:v>17700</c:v>
                </c:pt>
                <c:pt idx="7">
                  <c:v>16900</c:v>
                </c:pt>
                <c:pt idx="8">
                  <c:v>16200</c:v>
                </c:pt>
                <c:pt idx="9">
                  <c:v>15500</c:v>
                </c:pt>
                <c:pt idx="10">
                  <c:v>14800</c:v>
                </c:pt>
                <c:pt idx="11">
                  <c:v>14200</c:v>
                </c:pt>
                <c:pt idx="12">
                  <c:v>13600</c:v>
                </c:pt>
                <c:pt idx="13">
                  <c:v>13000</c:v>
                </c:pt>
                <c:pt idx="14">
                  <c:v>12400</c:v>
                </c:pt>
                <c:pt idx="15">
                  <c:v>11900</c:v>
                </c:pt>
                <c:pt idx="16">
                  <c:v>11400</c:v>
                </c:pt>
                <c:pt idx="17">
                  <c:v>10900</c:v>
                </c:pt>
                <c:pt idx="18">
                  <c:v>10400</c:v>
                </c:pt>
                <c:pt idx="19">
                  <c:v>10000</c:v>
                </c:pt>
                <c:pt idx="20">
                  <c:v>9500</c:v>
                </c:pt>
                <c:pt idx="21">
                  <c:v>9100</c:v>
                </c:pt>
                <c:pt idx="22">
                  <c:v>8700</c:v>
                </c:pt>
                <c:pt idx="23">
                  <c:v>8400</c:v>
                </c:pt>
                <c:pt idx="24">
                  <c:v>8000</c:v>
                </c:pt>
                <c:pt idx="25">
                  <c:v>7700</c:v>
                </c:pt>
                <c:pt idx="26">
                  <c:v>7300</c:v>
                </c:pt>
                <c:pt idx="27">
                  <c:v>7000</c:v>
                </c:pt>
                <c:pt idx="28">
                  <c:v>6700</c:v>
                </c:pt>
                <c:pt idx="29">
                  <c:v>6400</c:v>
                </c:pt>
                <c:pt idx="30">
                  <c:v>6100</c:v>
                </c:pt>
                <c:pt idx="31">
                  <c:v>5900</c:v>
                </c:pt>
                <c:pt idx="32">
                  <c:v>5600</c:v>
                </c:pt>
                <c:pt idx="33">
                  <c:v>5400</c:v>
                </c:pt>
                <c:pt idx="34">
                  <c:v>5200</c:v>
                </c:pt>
                <c:pt idx="35">
                  <c:v>4900</c:v>
                </c:pt>
                <c:pt idx="36">
                  <c:v>4700</c:v>
                </c:pt>
                <c:pt idx="37">
                  <c:v>4500</c:v>
                </c:pt>
                <c:pt idx="38">
                  <c:v>4300</c:v>
                </c:pt>
                <c:pt idx="39">
                  <c:v>4100</c:v>
                </c:pt>
                <c:pt idx="40">
                  <c:v>4000</c:v>
                </c:pt>
                <c:pt idx="41">
                  <c:v>3800</c:v>
                </c:pt>
                <c:pt idx="42">
                  <c:v>3600</c:v>
                </c:pt>
                <c:pt idx="43">
                  <c:v>3500</c:v>
                </c:pt>
                <c:pt idx="44">
                  <c:v>3300</c:v>
                </c:pt>
                <c:pt idx="45">
                  <c:v>3200</c:v>
                </c:pt>
                <c:pt idx="46">
                  <c:v>3000</c:v>
                </c:pt>
                <c:pt idx="47">
                  <c:v>2900</c:v>
                </c:pt>
                <c:pt idx="48">
                  <c:v>2800</c:v>
                </c:pt>
                <c:pt idx="49">
                  <c:v>2700</c:v>
                </c:pt>
                <c:pt idx="50">
                  <c:v>2500</c:v>
                </c:pt>
                <c:pt idx="51">
                  <c:v>2400</c:v>
                </c:pt>
                <c:pt idx="52">
                  <c:v>2300</c:v>
                </c:pt>
                <c:pt idx="53">
                  <c:v>2200</c:v>
                </c:pt>
                <c:pt idx="54">
                  <c:v>2100</c:v>
                </c:pt>
                <c:pt idx="55">
                  <c:v>2000</c:v>
                </c:pt>
                <c:pt idx="56">
                  <c:v>2000</c:v>
                </c:pt>
                <c:pt idx="57">
                  <c:v>1900</c:v>
                </c:pt>
                <c:pt idx="58">
                  <c:v>1800</c:v>
                </c:pt>
                <c:pt idx="59">
                  <c:v>1700</c:v>
                </c:pt>
                <c:pt idx="60">
                  <c:v>1600</c:v>
                </c:pt>
                <c:pt idx="61">
                  <c:v>1600</c:v>
                </c:pt>
                <c:pt idx="62">
                  <c:v>1500</c:v>
                </c:pt>
                <c:pt idx="63">
                  <c:v>1400</c:v>
                </c:pt>
                <c:pt idx="64">
                  <c:v>1400</c:v>
                </c:pt>
                <c:pt idx="65">
                  <c:v>1300</c:v>
                </c:pt>
                <c:pt idx="66">
                  <c:v>1300</c:v>
                </c:pt>
                <c:pt idx="67">
                  <c:v>1200</c:v>
                </c:pt>
                <c:pt idx="68">
                  <c:v>1200</c:v>
                </c:pt>
                <c:pt idx="69">
                  <c:v>1100</c:v>
                </c:pt>
                <c:pt idx="70">
                  <c:v>1100</c:v>
                </c:pt>
                <c:pt idx="71">
                  <c:v>1000</c:v>
                </c:pt>
                <c:pt idx="72">
                  <c:v>1000</c:v>
                </c:pt>
                <c:pt idx="73">
                  <c:v>900</c:v>
                </c:pt>
                <c:pt idx="74">
                  <c:v>900</c:v>
                </c:pt>
                <c:pt idx="75">
                  <c:v>800</c:v>
                </c:pt>
                <c:pt idx="76">
                  <c:v>800</c:v>
                </c:pt>
                <c:pt idx="77">
                  <c:v>800</c:v>
                </c:pt>
                <c:pt idx="78">
                  <c:v>700</c:v>
                </c:pt>
                <c:pt idx="79">
                  <c:v>700</c:v>
                </c:pt>
                <c:pt idx="80">
                  <c:v>700</c:v>
                </c:pt>
                <c:pt idx="81">
                  <c:v>700</c:v>
                </c:pt>
                <c:pt idx="82">
                  <c:v>600</c:v>
                </c:pt>
                <c:pt idx="83">
                  <c:v>600</c:v>
                </c:pt>
                <c:pt idx="84">
                  <c:v>600</c:v>
                </c:pt>
                <c:pt idx="85">
                  <c:v>500</c:v>
                </c:pt>
                <c:pt idx="86">
                  <c:v>500</c:v>
                </c:pt>
                <c:pt idx="87">
                  <c:v>500</c:v>
                </c:pt>
                <c:pt idx="88">
                  <c:v>500</c:v>
                </c:pt>
                <c:pt idx="89">
                  <c:v>500</c:v>
                </c:pt>
                <c:pt idx="90">
                  <c:v>400</c:v>
                </c:pt>
                <c:pt idx="91">
                  <c:v>400</c:v>
                </c:pt>
                <c:pt idx="92">
                  <c:v>400</c:v>
                </c:pt>
                <c:pt idx="93">
                  <c:v>400</c:v>
                </c:pt>
                <c:pt idx="94">
                  <c:v>400</c:v>
                </c:pt>
                <c:pt idx="95">
                  <c:v>400</c:v>
                </c:pt>
                <c:pt idx="96">
                  <c:v>300</c:v>
                </c:pt>
                <c:pt idx="97">
                  <c:v>300</c:v>
                </c:pt>
                <c:pt idx="98">
                  <c:v>300</c:v>
                </c:pt>
                <c:pt idx="99">
                  <c:v>300</c:v>
                </c:pt>
                <c:pt idx="100">
                  <c:v>300</c:v>
                </c:pt>
                <c:pt idx="101">
                  <c:v>300</c:v>
                </c:pt>
                <c:pt idx="102">
                  <c:v>300</c:v>
                </c:pt>
                <c:pt idx="103">
                  <c:v>200</c:v>
                </c:pt>
                <c:pt idx="104">
                  <c:v>200</c:v>
                </c:pt>
                <c:pt idx="105">
                  <c:v>200</c:v>
                </c:pt>
                <c:pt idx="106">
                  <c:v>200</c:v>
                </c:pt>
                <c:pt idx="107">
                  <c:v>200</c:v>
                </c:pt>
                <c:pt idx="108">
                  <c:v>200</c:v>
                </c:pt>
                <c:pt idx="109">
                  <c:v>200</c:v>
                </c:pt>
                <c:pt idx="110">
                  <c:v>200</c:v>
                </c:pt>
                <c:pt idx="111">
                  <c:v>200</c:v>
                </c:pt>
                <c:pt idx="112">
                  <c:v>200</c:v>
                </c:pt>
                <c:pt idx="113">
                  <c:v>200</c:v>
                </c:pt>
                <c:pt idx="114">
                  <c:v>200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numCache>
            </c:numRef>
          </c:val>
          <c:smooth val="0"/>
          <c:extLst>
            <c:ext xmlns:c16="http://schemas.microsoft.com/office/drawing/2014/chart" uri="{C3380CC4-5D6E-409C-BE32-E72D297353CC}">
              <c16:uniqueId val="{00000002-7475-488A-9A80-D3ABE70496F3}"/>
            </c:ext>
          </c:extLst>
        </c:ser>
        <c:ser>
          <c:idx val="3"/>
          <c:order val="3"/>
          <c:tx>
            <c:strRef>
              <c:f>List3!$J$2</c:f>
              <c:strCache>
                <c:ptCount val="1"/>
                <c:pt idx="0">
                  <c:v>sazba na VDJ bez hranice</c:v>
                </c:pt>
              </c:strCache>
            </c:strRef>
          </c:tx>
          <c:spPr>
            <a:ln w="28575" cap="rnd">
              <a:solidFill>
                <a:schemeClr val="accent1"/>
              </a:solidFill>
              <a:prstDash val="sysDot"/>
              <a:round/>
            </a:ln>
            <a:effectLst/>
          </c:spPr>
          <c:marker>
            <c:symbol val="none"/>
          </c:marker>
          <c:dLbls>
            <c:dLbl>
              <c:idx val="40"/>
              <c:layout>
                <c:manualLayout>
                  <c:x val="6.615214994487321E-3"/>
                  <c:y val="-4.626708727655107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75-488A-9A80-D3ABE70496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List3!$J$3:$J$200</c:f>
              <c:numCache>
                <c:formatCode>General</c:formatCode>
                <c:ptCount val="198"/>
                <c:pt idx="0">
                  <c:v>26300</c:v>
                </c:pt>
                <c:pt idx="1">
                  <c:v>25200</c:v>
                </c:pt>
                <c:pt idx="2">
                  <c:v>24200</c:v>
                </c:pt>
                <c:pt idx="3">
                  <c:v>23200</c:v>
                </c:pt>
                <c:pt idx="4">
                  <c:v>22300</c:v>
                </c:pt>
                <c:pt idx="5">
                  <c:v>21400</c:v>
                </c:pt>
                <c:pt idx="6">
                  <c:v>20500</c:v>
                </c:pt>
                <c:pt idx="7">
                  <c:v>19700</c:v>
                </c:pt>
                <c:pt idx="8">
                  <c:v>18900</c:v>
                </c:pt>
                <c:pt idx="9">
                  <c:v>18100</c:v>
                </c:pt>
                <c:pt idx="10">
                  <c:v>17400</c:v>
                </c:pt>
                <c:pt idx="11">
                  <c:v>16700</c:v>
                </c:pt>
                <c:pt idx="12">
                  <c:v>16000</c:v>
                </c:pt>
                <c:pt idx="13">
                  <c:v>15300</c:v>
                </c:pt>
                <c:pt idx="14">
                  <c:v>14700</c:v>
                </c:pt>
                <c:pt idx="15">
                  <c:v>14100</c:v>
                </c:pt>
                <c:pt idx="16">
                  <c:v>13500</c:v>
                </c:pt>
                <c:pt idx="17">
                  <c:v>13000</c:v>
                </c:pt>
                <c:pt idx="18">
                  <c:v>12500</c:v>
                </c:pt>
                <c:pt idx="19">
                  <c:v>12000</c:v>
                </c:pt>
                <c:pt idx="20">
                  <c:v>11500</c:v>
                </c:pt>
                <c:pt idx="21">
                  <c:v>11000</c:v>
                </c:pt>
                <c:pt idx="22">
                  <c:v>10600</c:v>
                </c:pt>
                <c:pt idx="23">
                  <c:v>10100</c:v>
                </c:pt>
                <c:pt idx="24">
                  <c:v>9700</c:v>
                </c:pt>
                <c:pt idx="25">
                  <c:v>9300</c:v>
                </c:pt>
                <c:pt idx="26">
                  <c:v>8900</c:v>
                </c:pt>
                <c:pt idx="27">
                  <c:v>8600</c:v>
                </c:pt>
                <c:pt idx="28">
                  <c:v>8200</c:v>
                </c:pt>
                <c:pt idx="29">
                  <c:v>7900</c:v>
                </c:pt>
                <c:pt idx="30">
                  <c:v>7600</c:v>
                </c:pt>
                <c:pt idx="31">
                  <c:v>7300</c:v>
                </c:pt>
                <c:pt idx="32">
                  <c:v>7000</c:v>
                </c:pt>
                <c:pt idx="33">
                  <c:v>6700</c:v>
                </c:pt>
                <c:pt idx="34">
                  <c:v>6400</c:v>
                </c:pt>
                <c:pt idx="35">
                  <c:v>6200</c:v>
                </c:pt>
                <c:pt idx="36">
                  <c:v>5900</c:v>
                </c:pt>
                <c:pt idx="37">
                  <c:v>5700</c:v>
                </c:pt>
                <c:pt idx="38">
                  <c:v>5400</c:v>
                </c:pt>
                <c:pt idx="39">
                  <c:v>5200</c:v>
                </c:pt>
                <c:pt idx="40">
                  <c:v>5000</c:v>
                </c:pt>
                <c:pt idx="41">
                  <c:v>4800</c:v>
                </c:pt>
                <c:pt idx="42">
                  <c:v>4600</c:v>
                </c:pt>
                <c:pt idx="43">
                  <c:v>4400</c:v>
                </c:pt>
                <c:pt idx="44">
                  <c:v>4200</c:v>
                </c:pt>
                <c:pt idx="45">
                  <c:v>4100</c:v>
                </c:pt>
                <c:pt idx="46">
                  <c:v>3900</c:v>
                </c:pt>
                <c:pt idx="47">
                  <c:v>3700</c:v>
                </c:pt>
                <c:pt idx="48">
                  <c:v>3600</c:v>
                </c:pt>
                <c:pt idx="49">
                  <c:v>3400</c:v>
                </c:pt>
                <c:pt idx="50">
                  <c:v>3300</c:v>
                </c:pt>
                <c:pt idx="51">
                  <c:v>3200</c:v>
                </c:pt>
                <c:pt idx="52">
                  <c:v>3000</c:v>
                </c:pt>
                <c:pt idx="53">
                  <c:v>2900</c:v>
                </c:pt>
                <c:pt idx="54">
                  <c:v>2800</c:v>
                </c:pt>
                <c:pt idx="55">
                  <c:v>2700</c:v>
                </c:pt>
                <c:pt idx="56">
                  <c:v>2600</c:v>
                </c:pt>
                <c:pt idx="57">
                  <c:v>2500</c:v>
                </c:pt>
                <c:pt idx="58">
                  <c:v>2400</c:v>
                </c:pt>
                <c:pt idx="59">
                  <c:v>2300</c:v>
                </c:pt>
                <c:pt idx="60">
                  <c:v>2200</c:v>
                </c:pt>
                <c:pt idx="61">
                  <c:v>2100</c:v>
                </c:pt>
                <c:pt idx="62">
                  <c:v>2000</c:v>
                </c:pt>
                <c:pt idx="63">
                  <c:v>1900</c:v>
                </c:pt>
                <c:pt idx="64">
                  <c:v>1800</c:v>
                </c:pt>
                <c:pt idx="65">
                  <c:v>1800</c:v>
                </c:pt>
                <c:pt idx="66">
                  <c:v>1700</c:v>
                </c:pt>
                <c:pt idx="67">
                  <c:v>1600</c:v>
                </c:pt>
                <c:pt idx="68">
                  <c:v>1600</c:v>
                </c:pt>
                <c:pt idx="69">
                  <c:v>1500</c:v>
                </c:pt>
                <c:pt idx="70">
                  <c:v>1400</c:v>
                </c:pt>
                <c:pt idx="71">
                  <c:v>1400</c:v>
                </c:pt>
                <c:pt idx="72">
                  <c:v>1300</c:v>
                </c:pt>
                <c:pt idx="73">
                  <c:v>1300</c:v>
                </c:pt>
                <c:pt idx="74">
                  <c:v>1200</c:v>
                </c:pt>
                <c:pt idx="75">
                  <c:v>1200</c:v>
                </c:pt>
                <c:pt idx="76">
                  <c:v>1100</c:v>
                </c:pt>
                <c:pt idx="77">
                  <c:v>1100</c:v>
                </c:pt>
                <c:pt idx="78">
                  <c:v>1000</c:v>
                </c:pt>
                <c:pt idx="79">
                  <c:v>1000</c:v>
                </c:pt>
                <c:pt idx="80">
                  <c:v>900</c:v>
                </c:pt>
                <c:pt idx="81">
                  <c:v>900</c:v>
                </c:pt>
                <c:pt idx="82">
                  <c:v>900</c:v>
                </c:pt>
                <c:pt idx="83">
                  <c:v>800</c:v>
                </c:pt>
                <c:pt idx="84">
                  <c:v>800</c:v>
                </c:pt>
                <c:pt idx="85">
                  <c:v>800</c:v>
                </c:pt>
                <c:pt idx="86">
                  <c:v>700</c:v>
                </c:pt>
                <c:pt idx="87">
                  <c:v>700</c:v>
                </c:pt>
                <c:pt idx="88">
                  <c:v>700</c:v>
                </c:pt>
                <c:pt idx="89">
                  <c:v>700</c:v>
                </c:pt>
                <c:pt idx="90">
                  <c:v>600</c:v>
                </c:pt>
                <c:pt idx="91">
                  <c:v>600</c:v>
                </c:pt>
                <c:pt idx="92">
                  <c:v>600</c:v>
                </c:pt>
                <c:pt idx="93">
                  <c:v>600</c:v>
                </c:pt>
                <c:pt idx="94">
                  <c:v>500</c:v>
                </c:pt>
                <c:pt idx="95">
                  <c:v>500</c:v>
                </c:pt>
                <c:pt idx="96">
                  <c:v>500</c:v>
                </c:pt>
                <c:pt idx="97">
                  <c:v>500</c:v>
                </c:pt>
                <c:pt idx="98">
                  <c:v>400</c:v>
                </c:pt>
                <c:pt idx="99">
                  <c:v>400</c:v>
                </c:pt>
                <c:pt idx="100">
                  <c:v>400</c:v>
                </c:pt>
                <c:pt idx="101">
                  <c:v>400</c:v>
                </c:pt>
                <c:pt idx="102">
                  <c:v>400</c:v>
                </c:pt>
                <c:pt idx="103">
                  <c:v>400</c:v>
                </c:pt>
                <c:pt idx="104">
                  <c:v>400</c:v>
                </c:pt>
                <c:pt idx="105">
                  <c:v>300</c:v>
                </c:pt>
                <c:pt idx="106">
                  <c:v>300</c:v>
                </c:pt>
                <c:pt idx="107">
                  <c:v>300</c:v>
                </c:pt>
                <c:pt idx="108">
                  <c:v>300</c:v>
                </c:pt>
                <c:pt idx="109">
                  <c:v>300</c:v>
                </c:pt>
                <c:pt idx="110">
                  <c:v>300</c:v>
                </c:pt>
                <c:pt idx="111">
                  <c:v>300</c:v>
                </c:pt>
                <c:pt idx="112">
                  <c:v>300</c:v>
                </c:pt>
                <c:pt idx="113">
                  <c:v>200</c:v>
                </c:pt>
                <c:pt idx="114">
                  <c:v>200</c:v>
                </c:pt>
                <c:pt idx="115">
                  <c:v>200</c:v>
                </c:pt>
                <c:pt idx="116">
                  <c:v>200</c:v>
                </c:pt>
                <c:pt idx="117">
                  <c:v>200</c:v>
                </c:pt>
                <c:pt idx="118">
                  <c:v>200</c:v>
                </c:pt>
                <c:pt idx="119">
                  <c:v>200</c:v>
                </c:pt>
                <c:pt idx="120">
                  <c:v>200</c:v>
                </c:pt>
                <c:pt idx="121">
                  <c:v>200</c:v>
                </c:pt>
                <c:pt idx="122">
                  <c:v>200</c:v>
                </c:pt>
                <c:pt idx="123">
                  <c:v>200</c:v>
                </c:pt>
                <c:pt idx="124">
                  <c:v>200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numCache>
            </c:numRef>
          </c:val>
          <c:smooth val="0"/>
          <c:extLst>
            <c:ext xmlns:c16="http://schemas.microsoft.com/office/drawing/2014/chart" uri="{C3380CC4-5D6E-409C-BE32-E72D297353CC}">
              <c16:uniqueId val="{00000003-7475-488A-9A80-D3ABE70496F3}"/>
            </c:ext>
          </c:extLst>
        </c:ser>
        <c:dLbls>
          <c:showLegendKey val="0"/>
          <c:showVal val="0"/>
          <c:showCatName val="0"/>
          <c:showSerName val="0"/>
          <c:showPercent val="0"/>
          <c:showBubbleSize val="0"/>
        </c:dLbls>
        <c:smooth val="0"/>
        <c:axId val="261747456"/>
        <c:axId val="261749376"/>
      </c:lineChart>
      <c:catAx>
        <c:axId val="261747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Výměra/počet</a:t>
                </a:r>
                <a:r>
                  <a:rPr lang="cs-CZ" baseline="0"/>
                  <a:t> VDJ</a:t>
                </a:r>
                <a:endParaRPr lang="cs-CZ"/>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61749376"/>
        <c:crosses val="autoZero"/>
        <c:auto val="1"/>
        <c:lblAlgn val="ctr"/>
        <c:lblOffset val="100"/>
        <c:noMultiLvlLbl val="0"/>
      </c:catAx>
      <c:valAx>
        <c:axId val="26174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61747456"/>
        <c:crosses val="autoZero"/>
        <c:crossBetween val="between"/>
        <c:dispUnits>
          <c:builtInUnit val="thousands"/>
          <c:dispUnitsLbl>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 Kč/MJ</a:t>
                  </a:r>
                </a:p>
              </c:rich>
            </c:tx>
            <c:spPr>
              <a:noFill/>
              <a:ln>
                <a:noFill/>
              </a:ln>
              <a:effectLst/>
            </c:sp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cs-CZ"/>
    </a:p>
  </c:txPr>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803E24919B83438E2C11BB3BBDB39D" ma:contentTypeVersion="2" ma:contentTypeDescription="Create a new document." ma:contentTypeScope="" ma:versionID="caf123761df8fb27ded65e9f966e7824">
  <xsd:schema xmlns:xsd="http://www.w3.org/2001/XMLSchema" xmlns:xs="http://www.w3.org/2001/XMLSchema" xmlns:p="http://schemas.microsoft.com/office/2006/metadata/properties" xmlns:ns2="804fe755-fe78-4dee-bfaf-15f80219ed23" targetNamespace="http://schemas.microsoft.com/office/2006/metadata/properties" ma:root="true" ma:fieldsID="d3a7cf47955967b255d379b0ef3631c7" ns2:_="">
    <xsd:import namespace="804fe755-fe78-4dee-bfaf-15f80219ed2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fe755-fe78-4dee-bfaf-15f80219e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580580-B54D-45D1-8563-37AD1DD1B7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D18D6A-3847-41AA-A216-6E3F99A2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fe755-fe78-4dee-bfaf-15f80219e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762E90-DD40-4DC8-B08D-A7F033A3B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6641</Words>
  <Characters>39188</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UZEI</Company>
  <LinksUpToDate>false</LinksUpToDate>
  <CharactersWithSpaces>45738</CharactersWithSpaces>
  <SharedDoc>false</SharedDoc>
  <HLinks>
    <vt:vector size="6" baseType="variant">
      <vt:variant>
        <vt:i4>3473505</vt:i4>
      </vt:variant>
      <vt:variant>
        <vt:i4>9</vt:i4>
      </vt:variant>
      <vt:variant>
        <vt:i4>0</vt:i4>
      </vt:variant>
      <vt:variant>
        <vt:i4>5</vt:i4>
      </vt:variant>
      <vt:variant>
        <vt:lpwstr>https://mapy.nature.cz/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Čapková Michaela</dc:creator>
  <cp:lastModifiedBy>Scharf Roman</cp:lastModifiedBy>
  <cp:revision>3</cp:revision>
  <dcterms:created xsi:type="dcterms:W3CDTF">2023-09-27T09:42:00Z</dcterms:created>
  <dcterms:modified xsi:type="dcterms:W3CDTF">2023-09-27T10:02:00Z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0x010100C8803E24919B83438E2C11BB3BBDB39D</vt:lpwstr>
  </property>
</Properties>
</file>