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0C60" w14:paraId="2C489B81" w14:textId="77777777" w:rsidTr="0035303D">
        <w:tc>
          <w:tcPr>
            <w:tcW w:w="9062" w:type="dxa"/>
          </w:tcPr>
          <w:p w14:paraId="38BC3B3D" w14:textId="669A2C87" w:rsidR="009F0C60" w:rsidRPr="00406060" w:rsidRDefault="009F0C60" w:rsidP="009F0C60">
            <w:pPr>
              <w:pStyle w:val="Nzev"/>
              <w:jc w:val="center"/>
              <w:rPr>
                <w:sz w:val="44"/>
                <w:szCs w:val="44"/>
              </w:rPr>
            </w:pPr>
            <w:r w:rsidRPr="00406060">
              <w:rPr>
                <w:sz w:val="44"/>
                <w:szCs w:val="44"/>
              </w:rPr>
              <w:t xml:space="preserve">Zápis </w:t>
            </w:r>
            <w:r w:rsidR="0090447F" w:rsidRPr="00406060">
              <w:rPr>
                <w:sz w:val="44"/>
                <w:szCs w:val="44"/>
              </w:rPr>
              <w:t>Rada nevládních</w:t>
            </w:r>
            <w:r w:rsidR="00406060" w:rsidRPr="00406060">
              <w:rPr>
                <w:sz w:val="44"/>
                <w:szCs w:val="44"/>
              </w:rPr>
              <w:t xml:space="preserve"> zemědělských</w:t>
            </w:r>
            <w:r w:rsidR="0090447F" w:rsidRPr="00406060">
              <w:rPr>
                <w:sz w:val="44"/>
                <w:szCs w:val="44"/>
              </w:rPr>
              <w:t xml:space="preserve"> o</w:t>
            </w:r>
            <w:r w:rsidR="00482C66" w:rsidRPr="00406060">
              <w:rPr>
                <w:sz w:val="44"/>
                <w:szCs w:val="44"/>
              </w:rPr>
              <w:t>r</w:t>
            </w:r>
            <w:r w:rsidR="0090447F" w:rsidRPr="00406060">
              <w:rPr>
                <w:sz w:val="44"/>
                <w:szCs w:val="44"/>
              </w:rPr>
              <w:t>ganizací</w:t>
            </w:r>
          </w:p>
          <w:p w14:paraId="035D45BA" w14:textId="77777777" w:rsidR="009F0C60" w:rsidRPr="00482C66" w:rsidRDefault="009F0C60" w:rsidP="002F7101">
            <w:pPr>
              <w:pStyle w:val="Nzev"/>
              <w:jc w:val="center"/>
              <w:rPr>
                <w:sz w:val="20"/>
                <w:szCs w:val="20"/>
              </w:rPr>
            </w:pPr>
          </w:p>
        </w:tc>
      </w:tr>
      <w:tr w:rsidR="009F0C60" w14:paraId="41930EC3" w14:textId="77777777" w:rsidTr="0035303D">
        <w:tc>
          <w:tcPr>
            <w:tcW w:w="9062" w:type="dxa"/>
          </w:tcPr>
          <w:p w14:paraId="6AA2928E" w14:textId="394A8296" w:rsidR="009F0C60" w:rsidRPr="004F25B6" w:rsidRDefault="00F93D52" w:rsidP="004F25B6">
            <w:pPr>
              <w:jc w:val="center"/>
              <w:rPr>
                <w:color w:val="2E74B5" w:themeColor="accent5" w:themeShade="BF"/>
                <w:sz w:val="32"/>
                <w:szCs w:val="32"/>
              </w:rPr>
            </w:pPr>
            <w:r>
              <w:rPr>
                <w:color w:val="2E74B5" w:themeColor="accent5" w:themeShade="BF"/>
                <w:sz w:val="32"/>
                <w:szCs w:val="32"/>
              </w:rPr>
              <w:t>04</w:t>
            </w:r>
            <w:r w:rsidR="004F25B6" w:rsidRPr="004F25B6">
              <w:rPr>
                <w:color w:val="2E74B5" w:themeColor="accent5" w:themeShade="BF"/>
                <w:sz w:val="32"/>
                <w:szCs w:val="32"/>
              </w:rPr>
              <w:t>.</w:t>
            </w:r>
            <w:r w:rsidR="009F0C60" w:rsidRPr="004F25B6">
              <w:rPr>
                <w:color w:val="2E74B5" w:themeColor="accent5" w:themeShade="BF"/>
                <w:sz w:val="32"/>
                <w:szCs w:val="32"/>
              </w:rPr>
              <w:t xml:space="preserve"> </w:t>
            </w:r>
            <w:r w:rsidR="00D901C1">
              <w:rPr>
                <w:color w:val="2E74B5" w:themeColor="accent5" w:themeShade="BF"/>
                <w:sz w:val="32"/>
                <w:szCs w:val="32"/>
              </w:rPr>
              <w:t>května</w:t>
            </w:r>
            <w:r w:rsidR="009F0C60" w:rsidRPr="004F25B6">
              <w:rPr>
                <w:color w:val="2E74B5" w:themeColor="accent5" w:themeShade="BF"/>
                <w:sz w:val="32"/>
                <w:szCs w:val="32"/>
              </w:rPr>
              <w:t xml:space="preserve"> 202</w:t>
            </w:r>
            <w:r w:rsidR="00D901C1">
              <w:rPr>
                <w:color w:val="2E74B5" w:themeColor="accent5" w:themeShade="BF"/>
                <w:sz w:val="32"/>
                <w:szCs w:val="32"/>
              </w:rPr>
              <w:t>3</w:t>
            </w:r>
          </w:p>
          <w:p w14:paraId="788280C5" w14:textId="448C48B7" w:rsidR="00AD1737" w:rsidRDefault="00AD1737" w:rsidP="00310959">
            <w:pPr>
              <w:jc w:val="center"/>
            </w:pPr>
          </w:p>
        </w:tc>
      </w:tr>
      <w:tr w:rsidR="009F0C60" w14:paraId="3586084D" w14:textId="77777777" w:rsidTr="0035303D">
        <w:tc>
          <w:tcPr>
            <w:tcW w:w="9062" w:type="dxa"/>
          </w:tcPr>
          <w:p w14:paraId="228E3012" w14:textId="0C6AB696" w:rsidR="00310959" w:rsidRDefault="00310959" w:rsidP="00310959">
            <w:r>
              <w:t xml:space="preserve">Přítomni jsou: </w:t>
            </w:r>
            <w:r w:rsidR="00AB0DB2">
              <w:t>dle prezenční listiny</w:t>
            </w:r>
          </w:p>
          <w:p w14:paraId="41AA18CB" w14:textId="7EAD03F1" w:rsidR="009F0C60" w:rsidRDefault="00E63B5D" w:rsidP="00280492">
            <w:r>
              <w:t xml:space="preserve">Online: </w:t>
            </w:r>
            <w:r w:rsidR="00280492">
              <w:t>Ing. Milek</w:t>
            </w:r>
            <w:r w:rsidR="00045F8B">
              <w:t>, Ing. Brož</w:t>
            </w:r>
          </w:p>
        </w:tc>
      </w:tr>
      <w:tr w:rsidR="009F0C60" w14:paraId="027F8C04" w14:textId="77777777" w:rsidTr="0035303D">
        <w:tc>
          <w:tcPr>
            <w:tcW w:w="9062" w:type="dxa"/>
          </w:tcPr>
          <w:p w14:paraId="71F942AB" w14:textId="6B1D4635" w:rsidR="009F0C60" w:rsidRDefault="0021041E" w:rsidP="00A57251">
            <w:r>
              <w:t>Za ZS jsou přítomni: Ing. J. Ulrich, K. Tylšarová</w:t>
            </w:r>
          </w:p>
        </w:tc>
      </w:tr>
      <w:tr w:rsidR="009F0C60" w14:paraId="7D57FDED" w14:textId="77777777" w:rsidTr="0035303D">
        <w:tc>
          <w:tcPr>
            <w:tcW w:w="9062" w:type="dxa"/>
          </w:tcPr>
          <w:p w14:paraId="722B2C86" w14:textId="62340874" w:rsidR="009F0C60" w:rsidRPr="009F0C60" w:rsidRDefault="0021041E" w:rsidP="0090447F">
            <w:r>
              <w:t xml:space="preserve">Jednání se koná </w:t>
            </w:r>
            <w:r w:rsidR="00E63B5D">
              <w:t>hybridní formou</w:t>
            </w:r>
            <w:r>
              <w:t xml:space="preserve">. </w:t>
            </w:r>
          </w:p>
        </w:tc>
      </w:tr>
      <w:tr w:rsidR="0021041E" w14:paraId="4EED5A39" w14:textId="77777777" w:rsidTr="0035303D">
        <w:tc>
          <w:tcPr>
            <w:tcW w:w="9062" w:type="dxa"/>
          </w:tcPr>
          <w:p w14:paraId="6CA480F1" w14:textId="77777777" w:rsidR="0021041E" w:rsidRDefault="0021041E" w:rsidP="0021041E">
            <w:r>
              <w:t xml:space="preserve">M. Pýcha jmenoval jako zapisovatelkou K. Tylšarovou. </w:t>
            </w:r>
          </w:p>
          <w:p w14:paraId="33B55792" w14:textId="77777777" w:rsidR="0021041E" w:rsidRPr="009F0C60" w:rsidRDefault="0021041E" w:rsidP="0021041E">
            <w:pPr>
              <w:pStyle w:val="Nzev"/>
              <w:jc w:val="center"/>
              <w:rPr>
                <w:sz w:val="22"/>
                <w:szCs w:val="22"/>
              </w:rPr>
            </w:pPr>
          </w:p>
        </w:tc>
      </w:tr>
      <w:tr w:rsidR="0021041E" w14:paraId="7A671530" w14:textId="77777777" w:rsidTr="0035303D">
        <w:tc>
          <w:tcPr>
            <w:tcW w:w="9062" w:type="dxa"/>
          </w:tcPr>
          <w:p w14:paraId="704B5E01" w14:textId="61F0D5B4" w:rsidR="0021041E" w:rsidRDefault="0021041E" w:rsidP="00490907">
            <w:pPr>
              <w:rPr>
                <w:b/>
                <w:bCs/>
              </w:rPr>
            </w:pPr>
            <w:r w:rsidRPr="00F847F7">
              <w:rPr>
                <w:b/>
                <w:bCs/>
              </w:rPr>
              <w:t>Program</w:t>
            </w:r>
            <w:r>
              <w:rPr>
                <w:b/>
                <w:bCs/>
              </w:rPr>
              <w:t>:</w:t>
            </w:r>
          </w:p>
          <w:sdt>
            <w:sdtPr>
              <w:id w:val="-1717037067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14:paraId="10457DE8" w14:textId="67F0A9F9" w:rsidR="00482C66" w:rsidRDefault="003D3FF6">
                <w:pPr>
                  <w:pStyle w:val="Obsah1"/>
                  <w:tabs>
                    <w:tab w:val="right" w:leader="dot" w:pos="9062"/>
                  </w:tabs>
                  <w:rPr>
                    <w:rFonts w:eastAsiaTheme="minorEastAsia"/>
                    <w:noProof/>
                    <w:kern w:val="2"/>
                    <w:lang w:eastAsia="cs-CZ"/>
                    <w14:ligatures w14:val="standardContextual"/>
                  </w:rPr>
                </w:pPr>
                <w:r>
                  <w:fldChar w:fldCharType="begin"/>
                </w:r>
                <w:r>
                  <w:instrText xml:space="preserve"> TOC \o "1-3" \n \h \z \u </w:instrText>
                </w:r>
                <w:r>
                  <w:fldChar w:fldCharType="separate"/>
                </w:r>
                <w:hyperlink w:anchor="_Toc134176457" w:history="1">
                  <w:r w:rsidR="00482C66" w:rsidRPr="001C1A83">
                    <w:rPr>
                      <w:rStyle w:val="Hypertextovodkaz"/>
                      <w:noProof/>
                    </w:rPr>
                    <w:t>1.</w:t>
                  </w:r>
                </w:hyperlink>
              </w:p>
              <w:p w14:paraId="54FBDF1C" w14:textId="50C54B92" w:rsidR="00482C66" w:rsidRDefault="00C21665">
                <w:pPr>
                  <w:pStyle w:val="Obsah2"/>
                  <w:tabs>
                    <w:tab w:val="left" w:pos="880"/>
                    <w:tab w:val="right" w:leader="dot" w:pos="9062"/>
                  </w:tabs>
                  <w:rPr>
                    <w:rFonts w:eastAsiaTheme="minorEastAsia"/>
                    <w:noProof/>
                    <w:kern w:val="2"/>
                    <w:lang w:eastAsia="cs-CZ"/>
                    <w14:ligatures w14:val="standardContextual"/>
                  </w:rPr>
                </w:pPr>
                <w:hyperlink w:anchor="_Toc134176458" w:history="1">
                  <w:r w:rsidR="00482C66" w:rsidRPr="001C1A83">
                    <w:rPr>
                      <w:rStyle w:val="Hypertextovodkaz"/>
                      <w:noProof/>
                    </w:rPr>
                    <w:t>1.1.</w:t>
                  </w:r>
                  <w:r w:rsidR="00482C66">
                    <w:rPr>
                      <w:rFonts w:eastAsiaTheme="minorEastAsia"/>
                      <w:noProof/>
                      <w:kern w:val="2"/>
                      <w:lang w:eastAsia="cs-CZ"/>
                      <w14:ligatures w14:val="standardContextual"/>
                    </w:rPr>
                    <w:tab/>
                  </w:r>
                  <w:r w:rsidR="00482C66" w:rsidRPr="001C1A83">
                    <w:rPr>
                      <w:rStyle w:val="Hypertextovodkaz"/>
                      <w:noProof/>
                    </w:rPr>
                    <w:t>Schválení programu jednání</w:t>
                  </w:r>
                </w:hyperlink>
              </w:p>
              <w:p w14:paraId="5DAB06FE" w14:textId="277DF51A" w:rsidR="00482C66" w:rsidRDefault="00C21665">
                <w:pPr>
                  <w:pStyle w:val="Obsah1"/>
                  <w:tabs>
                    <w:tab w:val="right" w:leader="dot" w:pos="9062"/>
                  </w:tabs>
                  <w:rPr>
                    <w:rFonts w:eastAsiaTheme="minorEastAsia"/>
                    <w:noProof/>
                    <w:kern w:val="2"/>
                    <w:lang w:eastAsia="cs-CZ"/>
                    <w14:ligatures w14:val="standardContextual"/>
                  </w:rPr>
                </w:pPr>
                <w:hyperlink w:anchor="_Toc134176459" w:history="1">
                  <w:r w:rsidR="00482C66" w:rsidRPr="001C1A83">
                    <w:rPr>
                      <w:rStyle w:val="Hypertextovodkaz"/>
                      <w:noProof/>
                    </w:rPr>
                    <w:t>2.</w:t>
                  </w:r>
                </w:hyperlink>
              </w:p>
              <w:p w14:paraId="0538259A" w14:textId="33037398" w:rsidR="00482C66" w:rsidRDefault="00C21665">
                <w:pPr>
                  <w:pStyle w:val="Obsah2"/>
                  <w:tabs>
                    <w:tab w:val="left" w:pos="880"/>
                    <w:tab w:val="right" w:leader="dot" w:pos="9062"/>
                  </w:tabs>
                  <w:rPr>
                    <w:rFonts w:eastAsiaTheme="minorEastAsia"/>
                    <w:noProof/>
                    <w:kern w:val="2"/>
                    <w:lang w:eastAsia="cs-CZ"/>
                    <w14:ligatures w14:val="standardContextual"/>
                  </w:rPr>
                </w:pPr>
                <w:hyperlink w:anchor="_Toc134176460" w:history="1">
                  <w:r w:rsidR="00482C66" w:rsidRPr="001C1A83">
                    <w:rPr>
                      <w:rStyle w:val="Hypertextovodkaz"/>
                      <w:noProof/>
                    </w:rPr>
                    <w:t>2.1.</w:t>
                  </w:r>
                  <w:r w:rsidR="00482C66">
                    <w:rPr>
                      <w:rFonts w:eastAsiaTheme="minorEastAsia"/>
                      <w:noProof/>
                      <w:kern w:val="2"/>
                      <w:lang w:eastAsia="cs-CZ"/>
                      <w14:ligatures w14:val="standardContextual"/>
                    </w:rPr>
                    <w:tab/>
                  </w:r>
                  <w:r w:rsidR="00482C66" w:rsidRPr="001C1A83">
                    <w:rPr>
                      <w:rStyle w:val="Hypertextovodkaz"/>
                      <w:noProof/>
                    </w:rPr>
                    <w:t>Situace na trhu – s obilím, v řetězcích</w:t>
                  </w:r>
                </w:hyperlink>
              </w:p>
              <w:p w14:paraId="56074AED" w14:textId="27A55792" w:rsidR="00482C66" w:rsidRDefault="00C21665">
                <w:pPr>
                  <w:pStyle w:val="Obsah2"/>
                  <w:tabs>
                    <w:tab w:val="left" w:pos="880"/>
                    <w:tab w:val="right" w:leader="dot" w:pos="9062"/>
                  </w:tabs>
                  <w:rPr>
                    <w:rFonts w:eastAsiaTheme="minorEastAsia"/>
                    <w:noProof/>
                    <w:kern w:val="2"/>
                    <w:lang w:eastAsia="cs-CZ"/>
                    <w14:ligatures w14:val="standardContextual"/>
                  </w:rPr>
                </w:pPr>
                <w:hyperlink w:anchor="_Toc134176461" w:history="1">
                  <w:r w:rsidR="00482C66" w:rsidRPr="001C1A83">
                    <w:rPr>
                      <w:rStyle w:val="Hypertextovodkaz"/>
                      <w:noProof/>
                    </w:rPr>
                    <w:t>2.2.</w:t>
                  </w:r>
                  <w:r w:rsidR="00482C66">
                    <w:rPr>
                      <w:rFonts w:eastAsiaTheme="minorEastAsia"/>
                      <w:noProof/>
                      <w:kern w:val="2"/>
                      <w:lang w:eastAsia="cs-CZ"/>
                      <w14:ligatures w14:val="standardContextual"/>
                    </w:rPr>
                    <w:tab/>
                  </w:r>
                  <w:r w:rsidR="00482C66" w:rsidRPr="001C1A83">
                    <w:rPr>
                      <w:rStyle w:val="Hypertextovodkaz"/>
                      <w:noProof/>
                    </w:rPr>
                    <w:t>Zhodnocení témat z minulého jednání</w:t>
                  </w:r>
                </w:hyperlink>
              </w:p>
              <w:p w14:paraId="70D258F6" w14:textId="37B9BE54" w:rsidR="00482C66" w:rsidRDefault="00C21665">
                <w:pPr>
                  <w:pStyle w:val="Obsah2"/>
                  <w:tabs>
                    <w:tab w:val="left" w:pos="880"/>
                    <w:tab w:val="right" w:leader="dot" w:pos="9062"/>
                  </w:tabs>
                  <w:rPr>
                    <w:rFonts w:eastAsiaTheme="minorEastAsia"/>
                    <w:noProof/>
                    <w:kern w:val="2"/>
                    <w:lang w:eastAsia="cs-CZ"/>
                    <w14:ligatures w14:val="standardContextual"/>
                  </w:rPr>
                </w:pPr>
                <w:hyperlink w:anchor="_Toc134176462" w:history="1">
                  <w:r w:rsidR="00482C66" w:rsidRPr="001C1A83">
                    <w:rPr>
                      <w:rStyle w:val="Hypertextovodkaz"/>
                      <w:noProof/>
                    </w:rPr>
                    <w:t>2.3.</w:t>
                  </w:r>
                  <w:r w:rsidR="00482C66">
                    <w:rPr>
                      <w:rFonts w:eastAsiaTheme="minorEastAsia"/>
                      <w:noProof/>
                      <w:kern w:val="2"/>
                      <w:lang w:eastAsia="cs-CZ"/>
                      <w14:ligatures w14:val="standardContextual"/>
                    </w:rPr>
                    <w:tab/>
                  </w:r>
                  <w:r w:rsidR="00482C66" w:rsidRPr="001C1A83">
                    <w:rPr>
                      <w:rStyle w:val="Hypertextovodkaz"/>
                      <w:noProof/>
                    </w:rPr>
                    <w:t>SZP</w:t>
                  </w:r>
                </w:hyperlink>
              </w:p>
              <w:p w14:paraId="50ABC0AA" w14:textId="2BE3700E" w:rsidR="00482C66" w:rsidRDefault="00C21665">
                <w:pPr>
                  <w:pStyle w:val="Obsah2"/>
                  <w:tabs>
                    <w:tab w:val="left" w:pos="880"/>
                    <w:tab w:val="right" w:leader="dot" w:pos="9062"/>
                  </w:tabs>
                  <w:rPr>
                    <w:rFonts w:eastAsiaTheme="minorEastAsia"/>
                    <w:noProof/>
                    <w:kern w:val="2"/>
                    <w:lang w:eastAsia="cs-CZ"/>
                    <w14:ligatures w14:val="standardContextual"/>
                  </w:rPr>
                </w:pPr>
                <w:hyperlink w:anchor="_Toc134176463" w:history="1">
                  <w:r w:rsidR="00482C66" w:rsidRPr="001C1A83">
                    <w:rPr>
                      <w:rStyle w:val="Hypertextovodkaz"/>
                      <w:noProof/>
                    </w:rPr>
                    <w:t>2.4.</w:t>
                  </w:r>
                  <w:r w:rsidR="00482C66">
                    <w:rPr>
                      <w:rFonts w:eastAsiaTheme="minorEastAsia"/>
                      <w:noProof/>
                      <w:kern w:val="2"/>
                      <w:lang w:eastAsia="cs-CZ"/>
                      <w14:ligatures w14:val="standardContextual"/>
                    </w:rPr>
                    <w:tab/>
                  </w:r>
                  <w:r w:rsidR="00482C66" w:rsidRPr="001C1A83">
                    <w:rPr>
                      <w:rStyle w:val="Hypertextovodkaz"/>
                      <w:noProof/>
                    </w:rPr>
                    <w:t>Podpora zaměstnanosti na venkově</w:t>
                  </w:r>
                </w:hyperlink>
              </w:p>
              <w:p w14:paraId="680B17CA" w14:textId="7F053274" w:rsidR="00482C66" w:rsidRDefault="00C21665">
                <w:pPr>
                  <w:pStyle w:val="Obsah2"/>
                  <w:tabs>
                    <w:tab w:val="left" w:pos="880"/>
                    <w:tab w:val="right" w:leader="dot" w:pos="9062"/>
                  </w:tabs>
                  <w:rPr>
                    <w:rFonts w:eastAsiaTheme="minorEastAsia"/>
                    <w:noProof/>
                    <w:kern w:val="2"/>
                    <w:lang w:eastAsia="cs-CZ"/>
                    <w14:ligatures w14:val="standardContextual"/>
                  </w:rPr>
                </w:pPr>
                <w:hyperlink w:anchor="_Toc134176464" w:history="1">
                  <w:r w:rsidR="00482C66" w:rsidRPr="001C1A83">
                    <w:rPr>
                      <w:rStyle w:val="Hypertextovodkaz"/>
                      <w:noProof/>
                    </w:rPr>
                    <w:t>2.5.</w:t>
                  </w:r>
                  <w:r w:rsidR="00482C66">
                    <w:rPr>
                      <w:rFonts w:eastAsiaTheme="minorEastAsia"/>
                      <w:noProof/>
                      <w:kern w:val="2"/>
                      <w:lang w:eastAsia="cs-CZ"/>
                      <w14:ligatures w14:val="standardContextual"/>
                    </w:rPr>
                    <w:tab/>
                  </w:r>
                  <w:r w:rsidR="00482C66" w:rsidRPr="001C1A83">
                    <w:rPr>
                      <w:rStyle w:val="Hypertextovodkaz"/>
                      <w:noProof/>
                    </w:rPr>
                    <w:t>Hraboši</w:t>
                  </w:r>
                </w:hyperlink>
              </w:p>
              <w:p w14:paraId="02AB22EA" w14:textId="0C9C9F04" w:rsidR="0021041E" w:rsidRPr="009F0C60" w:rsidRDefault="003D3FF6" w:rsidP="00490907">
                <w:r>
                  <w:fldChar w:fldCharType="end"/>
                </w:r>
              </w:p>
            </w:sdtContent>
          </w:sdt>
        </w:tc>
      </w:tr>
      <w:tr w:rsidR="0021041E" w14:paraId="52B5D4DE" w14:textId="77777777" w:rsidTr="0035303D">
        <w:tc>
          <w:tcPr>
            <w:tcW w:w="9062" w:type="dxa"/>
          </w:tcPr>
          <w:p w14:paraId="5FA4DCC2" w14:textId="4C7732E1" w:rsidR="0021041E" w:rsidRPr="009F0C60" w:rsidRDefault="0021041E" w:rsidP="009A6A67">
            <w:pPr>
              <w:pStyle w:val="Nadpis1"/>
              <w:numPr>
                <w:ilvl w:val="0"/>
                <w:numId w:val="15"/>
              </w:numPr>
            </w:pPr>
            <w:bookmarkStart w:id="0" w:name="_Toc134176457"/>
            <w:bookmarkEnd w:id="0"/>
          </w:p>
        </w:tc>
      </w:tr>
      <w:tr w:rsidR="0021041E" w:rsidRPr="003549CF" w14:paraId="4C5F75A0" w14:textId="77777777" w:rsidTr="0035303D">
        <w:tc>
          <w:tcPr>
            <w:tcW w:w="9062" w:type="dxa"/>
          </w:tcPr>
          <w:p w14:paraId="2652AA64" w14:textId="745372DA" w:rsidR="0021041E" w:rsidRPr="003549CF" w:rsidRDefault="00A05D41" w:rsidP="003549CF">
            <w:pPr>
              <w:pStyle w:val="Nadpis2"/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bookmarkStart w:id="1" w:name="_Toc134176458"/>
            <w:r w:rsidRPr="003549CF">
              <w:rPr>
                <w:b/>
                <w:bCs/>
              </w:rPr>
              <w:t>Schválení programu jednání</w:t>
            </w:r>
            <w:bookmarkEnd w:id="1"/>
            <w:r w:rsidRPr="003549CF">
              <w:rPr>
                <w:b/>
                <w:bCs/>
              </w:rPr>
              <w:t xml:space="preserve"> </w:t>
            </w:r>
          </w:p>
        </w:tc>
      </w:tr>
      <w:tr w:rsidR="0021041E" w14:paraId="1FFEF6A0" w14:textId="77777777" w:rsidTr="0035303D">
        <w:tc>
          <w:tcPr>
            <w:tcW w:w="9062" w:type="dxa"/>
          </w:tcPr>
          <w:p w14:paraId="4A4A507F" w14:textId="6AF5936B" w:rsidR="0021041E" w:rsidRPr="009F0C60" w:rsidRDefault="0021041E" w:rsidP="00556ADB">
            <w:pPr>
              <w:pStyle w:val="Nadpis1"/>
              <w:numPr>
                <w:ilvl w:val="0"/>
                <w:numId w:val="18"/>
              </w:numPr>
              <w:jc w:val="both"/>
            </w:pPr>
            <w:bookmarkStart w:id="2" w:name="_Toc134176459"/>
            <w:bookmarkEnd w:id="2"/>
          </w:p>
        </w:tc>
      </w:tr>
      <w:tr w:rsidR="0021041E" w:rsidRPr="003549CF" w14:paraId="24E3FDB4" w14:textId="77777777" w:rsidTr="0035303D">
        <w:tc>
          <w:tcPr>
            <w:tcW w:w="9062" w:type="dxa"/>
          </w:tcPr>
          <w:p w14:paraId="7F777582" w14:textId="49106932" w:rsidR="0021041E" w:rsidRPr="003549CF" w:rsidRDefault="008F79BA" w:rsidP="00556ADB">
            <w:pPr>
              <w:pStyle w:val="Nadpis2"/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bookmarkStart w:id="3" w:name="_Toc134176460"/>
            <w:r w:rsidRPr="003549CF">
              <w:rPr>
                <w:b/>
                <w:bCs/>
              </w:rPr>
              <w:t xml:space="preserve">Situace na trhu – s obilím, </w:t>
            </w:r>
            <w:r w:rsidR="00C32FBE" w:rsidRPr="003549CF">
              <w:rPr>
                <w:b/>
                <w:bCs/>
              </w:rPr>
              <w:t>v řetězcích</w:t>
            </w:r>
            <w:bookmarkEnd w:id="3"/>
          </w:p>
        </w:tc>
      </w:tr>
      <w:tr w:rsidR="0021041E" w14:paraId="6CF1FD61" w14:textId="77777777" w:rsidTr="0035303D">
        <w:tc>
          <w:tcPr>
            <w:tcW w:w="9062" w:type="dxa"/>
          </w:tcPr>
          <w:p w14:paraId="19290404" w14:textId="4A035A90" w:rsidR="0021041E" w:rsidRDefault="00C32FBE" w:rsidP="00556ADB">
            <w:pPr>
              <w:jc w:val="both"/>
            </w:pPr>
            <w:r>
              <w:t xml:space="preserve">Ing. Milek hovořil o neúnosné situaci </w:t>
            </w:r>
            <w:r w:rsidR="002123E9">
              <w:t xml:space="preserve">s obchodními řetězci. Dále o situaci s obilím. Zmínil, že je potřeba obilí zpracovat v lihovarech a líh přimíchávat do paliv. </w:t>
            </w:r>
          </w:p>
          <w:p w14:paraId="5988B76F" w14:textId="0645F590" w:rsidR="0042297D" w:rsidRPr="0042297D" w:rsidRDefault="0042297D" w:rsidP="00556ADB">
            <w:pPr>
              <w:jc w:val="both"/>
            </w:pPr>
          </w:p>
        </w:tc>
      </w:tr>
      <w:tr w:rsidR="0021041E" w:rsidRPr="003549CF" w14:paraId="6AFD3B80" w14:textId="77777777" w:rsidTr="0035303D">
        <w:tc>
          <w:tcPr>
            <w:tcW w:w="9062" w:type="dxa"/>
          </w:tcPr>
          <w:p w14:paraId="415EC01F" w14:textId="084E5434" w:rsidR="0021041E" w:rsidRPr="003549CF" w:rsidRDefault="009715FD" w:rsidP="00556ADB">
            <w:pPr>
              <w:pStyle w:val="Nadpis2"/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bookmarkStart w:id="4" w:name="_Toc134176461"/>
            <w:r w:rsidRPr="003549CF">
              <w:rPr>
                <w:b/>
                <w:bCs/>
              </w:rPr>
              <w:t>Zhodnocení témat z minulého jednání</w:t>
            </w:r>
            <w:bookmarkEnd w:id="4"/>
          </w:p>
        </w:tc>
      </w:tr>
      <w:tr w:rsidR="0042297D" w14:paraId="39B241A0" w14:textId="77777777" w:rsidTr="0035303D">
        <w:tc>
          <w:tcPr>
            <w:tcW w:w="9062" w:type="dxa"/>
          </w:tcPr>
          <w:p w14:paraId="114045D1" w14:textId="339F1452" w:rsidR="0042297D" w:rsidRDefault="007F3E67" w:rsidP="00556ADB">
            <w:pPr>
              <w:jc w:val="both"/>
            </w:pPr>
            <w:r>
              <w:t xml:space="preserve">Ing. Pýcha připomněl, </w:t>
            </w:r>
            <w:r w:rsidR="00067242">
              <w:t>že n</w:t>
            </w:r>
            <w:r w:rsidR="009715FD">
              <w:t xml:space="preserve">a posledním jednání v roce 2020 byly jedním z témat regionální potraviny. </w:t>
            </w:r>
            <w:r w:rsidR="004F4858">
              <w:t>V mezičase se nám podařila</w:t>
            </w:r>
            <w:r w:rsidR="00556ADB">
              <w:t xml:space="preserve"> protlačit (zejm. ve spolupráci s PROBIO)</w:t>
            </w:r>
            <w:r w:rsidR="004F4858">
              <w:t xml:space="preserve"> novela zákona o veřejných zakázkách, která umožňuje veřejným zadavatelům upřednostnit potraviny z krátkého dodavatelského řetězce. </w:t>
            </w:r>
          </w:p>
          <w:p w14:paraId="65267AF8" w14:textId="1A6D1149" w:rsidR="004F4858" w:rsidRDefault="00556ADB" w:rsidP="00556ADB">
            <w:pPr>
              <w:jc w:val="both"/>
            </w:pPr>
            <w:r>
              <w:t>ZS ČR vytvořil</w:t>
            </w:r>
            <w:r w:rsidR="004F4858">
              <w:t xml:space="preserve"> portál Najdizemedelce.cz</w:t>
            </w:r>
            <w:r w:rsidR="002B0EC3">
              <w:t xml:space="preserve">, který </w:t>
            </w:r>
            <w:r>
              <w:t xml:space="preserve">se </w:t>
            </w:r>
            <w:r w:rsidR="002B0EC3">
              <w:t>rozvíjí</w:t>
            </w:r>
            <w:r>
              <w:t xml:space="preserve"> a indikuje dostupnost lokálních producentů</w:t>
            </w:r>
            <w:r w:rsidR="002B0EC3">
              <w:t xml:space="preserve">. </w:t>
            </w:r>
          </w:p>
          <w:p w14:paraId="48E3E857" w14:textId="28DBEFAF" w:rsidR="002B0EC3" w:rsidRDefault="002B0EC3" w:rsidP="00556ADB">
            <w:pPr>
              <w:jc w:val="both"/>
            </w:pPr>
            <w:r>
              <w:t>Dalším tématem byly škody způsobené zvěří</w:t>
            </w:r>
            <w:r w:rsidR="00556ADB">
              <w:t xml:space="preserve"> – téma </w:t>
            </w:r>
            <w:r>
              <w:t xml:space="preserve">které se </w:t>
            </w:r>
            <w:r w:rsidR="00556ADB">
              <w:t>v tomto týdnu</w:t>
            </w:r>
            <w:r>
              <w:t xml:space="preserve"> diskutovalo na </w:t>
            </w:r>
            <w:proofErr w:type="spellStart"/>
            <w:r>
              <w:t>MZe</w:t>
            </w:r>
            <w:proofErr w:type="spellEnd"/>
            <w:r>
              <w:t xml:space="preserve">. </w:t>
            </w:r>
          </w:p>
          <w:p w14:paraId="17F10B3C" w14:textId="77777777" w:rsidR="002B0EC3" w:rsidRDefault="002B0EC3" w:rsidP="00556ADB">
            <w:pPr>
              <w:jc w:val="both"/>
            </w:pPr>
            <w:r>
              <w:t>Posledním tématem byl</w:t>
            </w:r>
            <w:r w:rsidR="00045F8B">
              <w:t>a generační obměna.</w:t>
            </w:r>
          </w:p>
          <w:p w14:paraId="1FCD688B" w14:textId="77777777" w:rsidR="009D6614" w:rsidRDefault="009D6614" w:rsidP="00556ADB">
            <w:pPr>
              <w:jc w:val="both"/>
            </w:pPr>
          </w:p>
          <w:p w14:paraId="624C283F" w14:textId="155C7EFE" w:rsidR="009D6614" w:rsidRDefault="009D6614" w:rsidP="00556ADB">
            <w:pPr>
              <w:jc w:val="both"/>
            </w:pPr>
            <w:r>
              <w:t xml:space="preserve">Diskutovalo se </w:t>
            </w:r>
            <w:r w:rsidR="00060153">
              <w:t xml:space="preserve">obsáhle o regionálních potravinách a odbytu, tržiště a další. Ing. Ulrich připomněl, že ZS </w:t>
            </w:r>
            <w:r w:rsidR="00BD3511">
              <w:t>vyzvalo kraje a státní správu, aby využívali tuto možnost</w:t>
            </w:r>
            <w:r w:rsidR="005A1CF6">
              <w:t>. Jde o obrovský objem potravin</w:t>
            </w:r>
            <w:r w:rsidR="00556ADB">
              <w:t>, r</w:t>
            </w:r>
            <w:r w:rsidR="005A1CF6">
              <w:t>egionálních i biopotravin</w:t>
            </w:r>
            <w:r w:rsidR="00556ADB">
              <w:t>, které lze skrze kanál státní správy a samosprávy lokálně zpeněžovat</w:t>
            </w:r>
            <w:r w:rsidR="005A1CF6">
              <w:t xml:space="preserve">. </w:t>
            </w:r>
          </w:p>
          <w:p w14:paraId="043C29BC" w14:textId="20B17995" w:rsidR="00DA5BE8" w:rsidRDefault="00DA5BE8" w:rsidP="00556ADB">
            <w:pPr>
              <w:jc w:val="both"/>
            </w:pPr>
            <w:r>
              <w:t>Hovořilo se také o tom, že lidé jezdí nakupovat do Polska</w:t>
            </w:r>
            <w:r w:rsidR="00432EC8">
              <w:t>,</w:t>
            </w:r>
            <w:r>
              <w:t xml:space="preserve"> a ještě je k tomu vyzývá poradce premiéra. </w:t>
            </w:r>
            <w:r w:rsidR="00432EC8">
              <w:t xml:space="preserve">Ing. Pýcha informoval, že s poradcem Křečkem jednal a věci mu vysvětloval. V následujících vystoupeních v médiích už vystupoval jinak. Pozval </w:t>
            </w:r>
            <w:r w:rsidR="00067242">
              <w:t>I</w:t>
            </w:r>
            <w:r w:rsidR="0081635F">
              <w:t xml:space="preserve">ng. Pýchu do svého </w:t>
            </w:r>
            <w:proofErr w:type="spellStart"/>
            <w:r w:rsidR="0081635F">
              <w:t>podcastu</w:t>
            </w:r>
            <w:proofErr w:type="spellEnd"/>
            <w:r w:rsidR="0081635F">
              <w:t xml:space="preserve">. </w:t>
            </w:r>
          </w:p>
          <w:p w14:paraId="3CAC5128" w14:textId="377844C7" w:rsidR="0081635F" w:rsidRPr="004F4858" w:rsidRDefault="00E63B4D" w:rsidP="00556ADB">
            <w:pPr>
              <w:jc w:val="both"/>
            </w:pPr>
            <w:r>
              <w:t xml:space="preserve">Ing. </w:t>
            </w:r>
            <w:r w:rsidR="002A6939">
              <w:t xml:space="preserve">Suchan nadnesl myšlenku „hromadné nabídky“ pro regionální potraviny. </w:t>
            </w:r>
          </w:p>
        </w:tc>
      </w:tr>
      <w:tr w:rsidR="00EA6DCE" w:rsidRPr="003549CF" w14:paraId="0C4C3528" w14:textId="77777777" w:rsidTr="0035303D">
        <w:tc>
          <w:tcPr>
            <w:tcW w:w="9062" w:type="dxa"/>
          </w:tcPr>
          <w:p w14:paraId="5F8855B0" w14:textId="672F088F" w:rsidR="00EA6DCE" w:rsidRPr="003549CF" w:rsidRDefault="000B4E8D" w:rsidP="00556ADB">
            <w:pPr>
              <w:pStyle w:val="Nadpis2"/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bookmarkStart w:id="5" w:name="_Toc134176462"/>
            <w:r w:rsidRPr="003549CF">
              <w:rPr>
                <w:b/>
                <w:bCs/>
              </w:rPr>
              <w:lastRenderedPageBreak/>
              <w:t>SZP</w:t>
            </w:r>
            <w:bookmarkEnd w:id="5"/>
          </w:p>
        </w:tc>
      </w:tr>
      <w:tr w:rsidR="0042297D" w14:paraId="39402451" w14:textId="77777777" w:rsidTr="0035303D">
        <w:tc>
          <w:tcPr>
            <w:tcW w:w="9062" w:type="dxa"/>
          </w:tcPr>
          <w:p w14:paraId="2C611CFF" w14:textId="07EC32C2" w:rsidR="0042297D" w:rsidRDefault="00EA6DCE" w:rsidP="00556ADB">
            <w:pPr>
              <w:jc w:val="both"/>
            </w:pPr>
            <w:r>
              <w:t>Uvedení členů/akcionářů</w:t>
            </w:r>
            <w:r w:rsidR="000B4E8D">
              <w:t xml:space="preserve"> v Jednotné žádosti – </w:t>
            </w:r>
            <w:r w:rsidR="00556ADB">
              <w:t>obavy ohledně</w:t>
            </w:r>
            <w:r w:rsidR="000B4E8D">
              <w:t> únik</w:t>
            </w:r>
            <w:r w:rsidR="00556ADB">
              <w:t>u citlivých</w:t>
            </w:r>
            <w:r w:rsidR="000B4E8D">
              <w:t xml:space="preserve"> dat. </w:t>
            </w:r>
            <w:r w:rsidR="009E6828">
              <w:t>Možnosti bránit se, když nejsou data zabezpečena</w:t>
            </w:r>
            <w:r w:rsidR="0091421E">
              <w:t xml:space="preserve"> nebo mají být dokonce zveřejněna. V</w:t>
            </w:r>
            <w:r w:rsidR="00556ADB">
              <w:t xml:space="preserve"> EU </w:t>
            </w:r>
            <w:r w:rsidR="0091421E">
              <w:t xml:space="preserve">nařízení je </w:t>
            </w:r>
            <w:r w:rsidR="001C4E9F">
              <w:t xml:space="preserve">uvedeno </w:t>
            </w:r>
            <w:r w:rsidR="0091421E">
              <w:t>zveřejnit jen IČO matky, dcery a</w:t>
            </w:r>
            <w:r w:rsidR="001C4E9F">
              <w:t>td.</w:t>
            </w:r>
            <w:r w:rsidR="0091421E">
              <w:t xml:space="preserve"> Nezveřejňovat seznamy podílníků. </w:t>
            </w:r>
          </w:p>
          <w:p w14:paraId="0D774217" w14:textId="18180E14" w:rsidR="006F63F0" w:rsidRDefault="006F63F0" w:rsidP="00556ADB">
            <w:pPr>
              <w:jc w:val="both"/>
            </w:pPr>
            <w:r>
              <w:t>K násilným převzetím a seznamům vlastníků bude mít AK stanovisko.</w:t>
            </w:r>
          </w:p>
          <w:p w14:paraId="2D1A532A" w14:textId="51ACDEF0" w:rsidR="005471F5" w:rsidRDefault="005471F5" w:rsidP="00556ADB">
            <w:pPr>
              <w:jc w:val="both"/>
            </w:pPr>
            <w:r>
              <w:t xml:space="preserve">Je potřeba poukázat na novou zbytečnou byrokracii. </w:t>
            </w:r>
          </w:p>
          <w:p w14:paraId="5B91FB38" w14:textId="69750047" w:rsidR="000B4E8D" w:rsidRDefault="00E40304" w:rsidP="00556ADB">
            <w:pPr>
              <w:jc w:val="both"/>
            </w:pPr>
            <w:proofErr w:type="spellStart"/>
            <w:r>
              <w:t>Redi</w:t>
            </w:r>
            <w:r w:rsidR="00284569">
              <w:t>stributivní</w:t>
            </w:r>
            <w:proofErr w:type="spellEnd"/>
            <w:r w:rsidR="00284569">
              <w:t xml:space="preserve"> platba – ČMSZP podporuje snížení procenta. </w:t>
            </w:r>
            <w:r w:rsidR="009C1F60">
              <w:t xml:space="preserve">SMA </w:t>
            </w:r>
            <w:r w:rsidR="001C4E9F">
              <w:t>– názorově nesourodé postoje uvnitř organizace,</w:t>
            </w:r>
            <w:r w:rsidR="009C1F60">
              <w:t xml:space="preserve"> ale někteří to také hodnotí </w:t>
            </w:r>
            <w:r w:rsidR="00F81983">
              <w:t>jako nespravedlivé</w:t>
            </w:r>
            <w:r w:rsidR="001C4E9F">
              <w:t xml:space="preserve"> (nutno projednat v orgánech SMA)</w:t>
            </w:r>
            <w:r w:rsidR="00F81983">
              <w:t xml:space="preserve">. </w:t>
            </w:r>
          </w:p>
          <w:p w14:paraId="0C8D4675" w14:textId="46F5FCDC" w:rsidR="00770D96" w:rsidRDefault="00057BD3" w:rsidP="001C4E9F">
            <w:pPr>
              <w:jc w:val="both"/>
            </w:pPr>
            <w:r>
              <w:t xml:space="preserve">Ing. Ulrich připomněl erozní ohroženost. </w:t>
            </w:r>
            <w:r w:rsidR="007C4642">
              <w:t xml:space="preserve">Je potřeba účinnost posunout </w:t>
            </w:r>
            <w:r w:rsidR="001C4E9F">
              <w:t xml:space="preserve">alespoň </w:t>
            </w:r>
            <w:r w:rsidR="007C4642">
              <w:t xml:space="preserve">na jařiny 2025 </w:t>
            </w:r>
            <w:r w:rsidR="001C4E9F">
              <w:t>(ideálně</w:t>
            </w:r>
            <w:r w:rsidR="007C4642">
              <w:t xml:space="preserve"> ozim</w:t>
            </w:r>
            <w:r w:rsidR="001C4E9F">
              <w:t>y</w:t>
            </w:r>
            <w:r w:rsidR="007C4642">
              <w:t xml:space="preserve"> 2025</w:t>
            </w:r>
            <w:r w:rsidR="001C4E9F">
              <w:t>)</w:t>
            </w:r>
            <w:r w:rsidR="007C4642">
              <w:t xml:space="preserve">. </w:t>
            </w:r>
            <w:r w:rsidR="001C4E9F">
              <w:t>ZS a AK jsou připraveni dále vyjednávat úpravu RP.</w:t>
            </w:r>
          </w:p>
          <w:p w14:paraId="016031DB" w14:textId="79994435" w:rsidR="00A40C45" w:rsidRDefault="00A40C45" w:rsidP="00556ADB">
            <w:pPr>
              <w:jc w:val="both"/>
            </w:pPr>
            <w:r>
              <w:t>Byrokracie je extrémní, typickou ukázkou je požadavek SZIF</w:t>
            </w:r>
            <w:r w:rsidR="0070221C">
              <w:t xml:space="preserve"> na seznam skutečných vlastníků nad rámec nařízení. </w:t>
            </w:r>
          </w:p>
          <w:p w14:paraId="4BDBCCC8" w14:textId="3230CBC2" w:rsidR="00C21665" w:rsidRDefault="00C21665" w:rsidP="00556ADB">
            <w:pPr>
              <w:jc w:val="both"/>
            </w:pPr>
            <w:r>
              <w:t xml:space="preserve">Diskuse také pokračoval v oblasti nově nastavených podmínek v tzv. </w:t>
            </w:r>
            <w:proofErr w:type="spellStart"/>
            <w:r>
              <w:t>ekoplatbě</w:t>
            </w:r>
            <w:proofErr w:type="spellEnd"/>
            <w:r>
              <w:t xml:space="preserve"> a nadstavbové </w:t>
            </w:r>
            <w:proofErr w:type="spellStart"/>
            <w:r>
              <w:t>ekoplatbě</w:t>
            </w:r>
            <w:proofErr w:type="spellEnd"/>
            <w:r>
              <w:t xml:space="preserve">. Shodná je kritika administrativní složitosti, která povede k malému počtu žadatelů o tuto část podpory. Členové společně požádají </w:t>
            </w:r>
            <w:proofErr w:type="spellStart"/>
            <w:r>
              <w:t>MZe</w:t>
            </w:r>
            <w:proofErr w:type="spellEnd"/>
            <w:r>
              <w:t xml:space="preserve"> o vyhodnocení zkušeností zemědělců s podáváním jednotné žádosti a na základě toho bude nutné požadovat případnou úpravu nastavení. </w:t>
            </w:r>
          </w:p>
          <w:p w14:paraId="4355E380" w14:textId="5E605577" w:rsidR="00C21665" w:rsidRDefault="003549CF" w:rsidP="003549CF">
            <w:pPr>
              <w:jc w:val="both"/>
            </w:pPr>
            <w:r>
              <w:t>Závěr: Členové se shodují na tom, že zemědělci by měli mít dostatek času na změny podmínek eroze připravit, tj. že účinnost změn by měla být od roku 2025.</w:t>
            </w:r>
            <w:r w:rsidR="00C21665">
              <w:t xml:space="preserve"> Také společně kritizují vysokou složitost nových podmínek systému podpor. </w:t>
            </w:r>
            <w:r w:rsidR="00C21665">
              <w:t>Je shoda na odeslání společného dopisu v této věci.</w:t>
            </w:r>
          </w:p>
          <w:p w14:paraId="727C0919" w14:textId="256DE229" w:rsidR="00284569" w:rsidRDefault="003549CF" w:rsidP="003549CF">
            <w:pPr>
              <w:jc w:val="both"/>
            </w:pPr>
            <w:r>
              <w:t xml:space="preserve"> </w:t>
            </w:r>
          </w:p>
          <w:p w14:paraId="532478EE" w14:textId="3F4B9278" w:rsidR="003549CF" w:rsidRPr="000B4E8D" w:rsidRDefault="003549CF" w:rsidP="003549CF">
            <w:pPr>
              <w:jc w:val="both"/>
            </w:pPr>
          </w:p>
        </w:tc>
      </w:tr>
      <w:tr w:rsidR="0042297D" w:rsidRPr="003549CF" w14:paraId="015CC7BE" w14:textId="77777777" w:rsidTr="003549CF">
        <w:trPr>
          <w:trHeight w:val="399"/>
        </w:trPr>
        <w:tc>
          <w:tcPr>
            <w:tcW w:w="9062" w:type="dxa"/>
          </w:tcPr>
          <w:p w14:paraId="13D58505" w14:textId="45570F6D" w:rsidR="0042297D" w:rsidRPr="003549CF" w:rsidRDefault="005375AF" w:rsidP="00556ADB">
            <w:pPr>
              <w:pStyle w:val="Nadpis2"/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bookmarkStart w:id="6" w:name="_Toc134176463"/>
            <w:r w:rsidRPr="003549CF">
              <w:rPr>
                <w:b/>
                <w:bCs/>
              </w:rPr>
              <w:t>Podpora zaměstnanosti na venkově</w:t>
            </w:r>
            <w:bookmarkEnd w:id="6"/>
          </w:p>
        </w:tc>
      </w:tr>
      <w:tr w:rsidR="0042297D" w14:paraId="3BDF1DDB" w14:textId="77777777" w:rsidTr="0035303D">
        <w:tc>
          <w:tcPr>
            <w:tcW w:w="9062" w:type="dxa"/>
          </w:tcPr>
          <w:p w14:paraId="42463D1C" w14:textId="252F6F63" w:rsidR="0042297D" w:rsidRDefault="003549CF" w:rsidP="00556ADB">
            <w:pPr>
              <w:jc w:val="both"/>
            </w:pPr>
            <w:r>
              <w:t xml:space="preserve">Předseda ZS Pýcha informoval, že </w:t>
            </w:r>
            <w:r w:rsidR="005375AF">
              <w:t xml:space="preserve">Ministr Jurečka </w:t>
            </w:r>
            <w:r w:rsidR="00C37317">
              <w:t xml:space="preserve">uvedl, že do měsíce by měl být </w:t>
            </w:r>
            <w:r>
              <w:t>materiál odeslán Evropské komisi k notifikaci</w:t>
            </w:r>
            <w:r w:rsidR="00C37317">
              <w:t>.</w:t>
            </w:r>
            <w:r w:rsidR="00BA1D41">
              <w:t xml:space="preserve"> Proběhla disku</w:t>
            </w:r>
            <w:r w:rsidR="00BE7385">
              <w:t>s</w:t>
            </w:r>
            <w:r w:rsidR="00BA1D41">
              <w:t>e, všichni to</w:t>
            </w:r>
            <w:r w:rsidR="00BE7385">
              <w:t>to</w:t>
            </w:r>
            <w:r w:rsidR="00BA1D41">
              <w:t xml:space="preserve"> pod</w:t>
            </w:r>
            <w:r w:rsidR="00BE7385">
              <w:t>p</w:t>
            </w:r>
            <w:r w:rsidR="00BA1D41">
              <w:t>orují</w:t>
            </w:r>
            <w:r w:rsidR="00BE7385">
              <w:t>.</w:t>
            </w:r>
            <w:r w:rsidR="00BA1D41">
              <w:t xml:space="preserve"> SMA </w:t>
            </w:r>
            <w:r w:rsidR="00BE7385">
              <w:t xml:space="preserve">nemají oficiální stanovisko, jen Ing. Brož osobně souhlasí. </w:t>
            </w:r>
          </w:p>
          <w:p w14:paraId="49145B24" w14:textId="033CFBFB" w:rsidR="00C21665" w:rsidRDefault="00C21665" w:rsidP="00556ADB">
            <w:pPr>
              <w:jc w:val="both"/>
            </w:pPr>
            <w:r>
              <w:t xml:space="preserve">Souběžně s tím byla diskutována problematika národních podpor a jejich krácení. Obecně je podpora pro společný tlak na </w:t>
            </w:r>
            <w:proofErr w:type="spellStart"/>
            <w:r>
              <w:t>Mze</w:t>
            </w:r>
            <w:proofErr w:type="spellEnd"/>
            <w:r>
              <w:t xml:space="preserve"> k zachování výše národních podpor na obvyklé úrovni cca 5 ml. Kč. Členové rady projednají postoj ve svých organizacích.</w:t>
            </w:r>
          </w:p>
          <w:p w14:paraId="203211BC" w14:textId="16ED7854" w:rsidR="003549CF" w:rsidRPr="009F0C60" w:rsidRDefault="003549CF" w:rsidP="00556ADB">
            <w:pPr>
              <w:jc w:val="both"/>
            </w:pPr>
          </w:p>
        </w:tc>
      </w:tr>
      <w:tr w:rsidR="0042297D" w:rsidRPr="00C21665" w14:paraId="02AC99C7" w14:textId="77777777" w:rsidTr="0035303D">
        <w:tc>
          <w:tcPr>
            <w:tcW w:w="9062" w:type="dxa"/>
          </w:tcPr>
          <w:p w14:paraId="20D41168" w14:textId="54F59028" w:rsidR="0042297D" w:rsidRPr="00C21665" w:rsidRDefault="00CC0D52" w:rsidP="00556ADB">
            <w:pPr>
              <w:pStyle w:val="Nadpis2"/>
              <w:numPr>
                <w:ilvl w:val="1"/>
                <w:numId w:val="18"/>
              </w:numPr>
              <w:jc w:val="both"/>
              <w:rPr>
                <w:b/>
                <w:bCs/>
              </w:rPr>
            </w:pPr>
            <w:bookmarkStart w:id="7" w:name="_Toc134176464"/>
            <w:r w:rsidRPr="00C21665">
              <w:rPr>
                <w:b/>
                <w:bCs/>
              </w:rPr>
              <w:t>Hraboši</w:t>
            </w:r>
            <w:bookmarkEnd w:id="7"/>
          </w:p>
        </w:tc>
      </w:tr>
      <w:tr w:rsidR="0042297D" w14:paraId="4BA1B201" w14:textId="77777777" w:rsidTr="0035303D">
        <w:tc>
          <w:tcPr>
            <w:tcW w:w="9062" w:type="dxa"/>
          </w:tcPr>
          <w:p w14:paraId="441E4AA8" w14:textId="77777777" w:rsidR="0042297D" w:rsidRDefault="00CC0D52" w:rsidP="00556ADB">
            <w:pPr>
              <w:jc w:val="both"/>
            </w:pPr>
            <w:r>
              <w:t xml:space="preserve">Postižené oblasti jsou i v podhůří. </w:t>
            </w:r>
          </w:p>
          <w:p w14:paraId="4373B376" w14:textId="77777777" w:rsidR="00550756" w:rsidRDefault="00550756" w:rsidP="00556ADB">
            <w:pPr>
              <w:jc w:val="both"/>
            </w:pPr>
            <w:r>
              <w:t xml:space="preserve">Ing. Milek navrhl </w:t>
            </w:r>
            <w:r w:rsidR="00247394">
              <w:t xml:space="preserve">soudní cestu vymáhání škody. </w:t>
            </w:r>
          </w:p>
          <w:p w14:paraId="5E5E45D8" w14:textId="6593A5D2" w:rsidR="00A361CE" w:rsidRDefault="00A361CE" w:rsidP="00556ADB">
            <w:pPr>
              <w:jc w:val="both"/>
            </w:pPr>
            <w:r>
              <w:t>Ing. Pýcha zmínil, že snad běží soudy na vymáhání škody z minulé kalamity.</w:t>
            </w:r>
            <w:r w:rsidR="001C4E9F">
              <w:t xml:space="preserve"> Je třeba vyčkat na judikát.</w:t>
            </w:r>
          </w:p>
          <w:p w14:paraId="676C75AE" w14:textId="5FD15DA2" w:rsidR="008F4D9F" w:rsidRDefault="009B4B35" w:rsidP="00556ADB">
            <w:pPr>
              <w:jc w:val="both"/>
            </w:pPr>
            <w:r>
              <w:t>Hovořilo se také o vlkovi</w:t>
            </w:r>
            <w:r w:rsidR="008F4D9F">
              <w:t xml:space="preserve"> a černé zvěři, </w:t>
            </w:r>
            <w:r w:rsidR="00BA7E09">
              <w:t>o škodách zvěří obecně.</w:t>
            </w:r>
            <w:r w:rsidR="001C4E9F">
              <w:t xml:space="preserve"> Zaznělo více názorů na případná řešení.</w:t>
            </w:r>
            <w:r w:rsidR="00BA7E09">
              <w:t xml:space="preserve"> </w:t>
            </w:r>
          </w:p>
          <w:p w14:paraId="039C9040" w14:textId="3025EC94" w:rsidR="00147056" w:rsidRDefault="00147056" w:rsidP="00556ADB">
            <w:pPr>
              <w:jc w:val="both"/>
            </w:pPr>
            <w:r>
              <w:t xml:space="preserve">Dle dohody na příští jednání se přizve </w:t>
            </w:r>
            <w:r w:rsidR="001C4E9F">
              <w:t>zástupce ČSO, p.</w:t>
            </w:r>
            <w:r w:rsidR="003549CF">
              <w:t xml:space="preserve"> </w:t>
            </w:r>
            <w:proofErr w:type="spellStart"/>
            <w:r>
              <w:t>Vermouzek</w:t>
            </w:r>
            <w:proofErr w:type="spellEnd"/>
            <w:r>
              <w:t>, aby</w:t>
            </w:r>
            <w:r w:rsidR="001C4E9F">
              <w:t>chom s ním projednali</w:t>
            </w:r>
            <w:r>
              <w:t>, jak si</w:t>
            </w:r>
            <w:r w:rsidR="003549CF">
              <w:t xml:space="preserve"> ornitologové</w:t>
            </w:r>
            <w:r w:rsidR="001C4E9F">
              <w:t xml:space="preserve"> </w:t>
            </w:r>
            <w:r>
              <w:t>představuj</w:t>
            </w:r>
            <w:r w:rsidR="001C4E9F">
              <w:t xml:space="preserve">í řešení </w:t>
            </w:r>
            <w:r w:rsidR="003549CF">
              <w:t>kalamity přemnoženého hraboše</w:t>
            </w:r>
            <w:r w:rsidR="001C4E9F">
              <w:t>, zejm. v kontextu nových mantinelů SZP</w:t>
            </w:r>
            <w:r>
              <w:t>.</w:t>
            </w:r>
          </w:p>
          <w:p w14:paraId="762A30DE" w14:textId="72974F64" w:rsidR="003D0ED3" w:rsidRPr="009F0C60" w:rsidRDefault="001C4E9F" w:rsidP="00556ADB">
            <w:pPr>
              <w:jc w:val="both"/>
            </w:pPr>
            <w:r>
              <w:t>Diskutováno bylo i téma novely mysliveckého zákona. Většinově byla shoda na nezmenšování honiteb, ani na individuálních právech odlovu. Doporučeno o</w:t>
            </w:r>
            <w:r w:rsidR="00556ADB">
              <w:t>věřit</w:t>
            </w:r>
            <w:r w:rsidR="003D0ED3">
              <w:t xml:space="preserve">, zda novela </w:t>
            </w:r>
            <w:r w:rsidR="00C9239E">
              <w:t>ruší všechny smlouvy na honitby.</w:t>
            </w:r>
          </w:p>
        </w:tc>
      </w:tr>
    </w:tbl>
    <w:p w14:paraId="7A91EA29" w14:textId="77777777" w:rsidR="006812E0" w:rsidRDefault="006812E0" w:rsidP="00342656">
      <w:pPr>
        <w:pStyle w:val="Odstavecseseznamem"/>
        <w:ind w:left="792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214A" w14:paraId="769BC511" w14:textId="77777777" w:rsidTr="000A214A">
        <w:tc>
          <w:tcPr>
            <w:tcW w:w="4531" w:type="dxa"/>
          </w:tcPr>
          <w:p w14:paraId="31824559" w14:textId="77777777" w:rsidR="000A214A" w:rsidRDefault="000A214A" w:rsidP="000A214A">
            <w:pPr>
              <w:jc w:val="both"/>
            </w:pPr>
            <w:r>
              <w:t>Zapsala: Tylšarová</w:t>
            </w:r>
          </w:p>
          <w:p w14:paraId="6EB6C45A" w14:textId="77777777" w:rsidR="000A214A" w:rsidRDefault="000A214A" w:rsidP="000A214A">
            <w:pPr>
              <w:jc w:val="both"/>
            </w:pPr>
          </w:p>
        </w:tc>
        <w:tc>
          <w:tcPr>
            <w:tcW w:w="4531" w:type="dxa"/>
          </w:tcPr>
          <w:p w14:paraId="7497977E" w14:textId="08174F65" w:rsidR="000A214A" w:rsidRDefault="000A214A" w:rsidP="000A214A">
            <w:pPr>
              <w:jc w:val="right"/>
            </w:pPr>
            <w:r>
              <w:t>Schválil: Ing. Martin Pýcha</w:t>
            </w:r>
          </w:p>
        </w:tc>
      </w:tr>
    </w:tbl>
    <w:p w14:paraId="70095D41" w14:textId="324B7309" w:rsidR="00911175" w:rsidRDefault="00911175" w:rsidP="00342656">
      <w:pPr>
        <w:pStyle w:val="Odstavecseseznamem"/>
        <w:ind w:left="792"/>
        <w:jc w:val="both"/>
      </w:pPr>
    </w:p>
    <w:p w14:paraId="1388F3D1" w14:textId="77777777" w:rsidR="00911175" w:rsidRDefault="00911175" w:rsidP="00342656">
      <w:pPr>
        <w:pStyle w:val="Odstavecseseznamem"/>
        <w:ind w:left="792"/>
        <w:jc w:val="both"/>
      </w:pPr>
    </w:p>
    <w:p w14:paraId="32C95BD8" w14:textId="781DAFDA" w:rsidR="007C251F" w:rsidRDefault="007C251F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48881C43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2B1A0E25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2E4DB056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46760934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31CDEB89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5FBD3F04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551D2AC6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7EE5F855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392D8C38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1288A9F7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66740E05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069D620F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2867D26B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49059337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33AE29E2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29005F1B" w14:textId="77777777" w:rsidR="00556ADB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</w:p>
    <w:p w14:paraId="462B2E39" w14:textId="7B42DBCC" w:rsidR="00556ADB" w:rsidRPr="00CE4652" w:rsidRDefault="00556ADB" w:rsidP="00BA7011">
      <w:pPr>
        <w:pStyle w:val="Odstavecseseznamem"/>
        <w:tabs>
          <w:tab w:val="left" w:pos="3143"/>
        </w:tabs>
        <w:ind w:left="360"/>
        <w:rPr>
          <w:b/>
          <w:bCs/>
        </w:rPr>
      </w:pPr>
      <w:r w:rsidRPr="00556ADB">
        <w:rPr>
          <w:b/>
          <w:bCs/>
          <w:noProof/>
        </w:rPr>
        <w:drawing>
          <wp:inline distT="0" distB="0" distL="0" distR="0" wp14:anchorId="25B2F884" wp14:editId="3135E299">
            <wp:extent cx="4107180" cy="4701540"/>
            <wp:effectExtent l="0" t="0" r="7620" b="3810"/>
            <wp:docPr id="145250918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ADB" w:rsidRPr="00CE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29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14C37"/>
    <w:multiLevelType w:val="multilevel"/>
    <w:tmpl w:val="632C28CC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28" w:hanging="1440"/>
      </w:pPr>
      <w:rPr>
        <w:rFonts w:hint="default"/>
        <w:b/>
      </w:rPr>
    </w:lvl>
  </w:abstractNum>
  <w:abstractNum w:abstractNumId="2" w15:restartNumberingAfterBreak="0">
    <w:nsid w:val="13E73A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402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B069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E21BB"/>
    <w:multiLevelType w:val="hybridMultilevel"/>
    <w:tmpl w:val="B37C4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34A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E47D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B400E4"/>
    <w:multiLevelType w:val="hybridMultilevel"/>
    <w:tmpl w:val="8682AE0A"/>
    <w:lvl w:ilvl="0" w:tplc="AE4E722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8E10BE"/>
    <w:multiLevelType w:val="multilevel"/>
    <w:tmpl w:val="FB00E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56140"/>
    <w:multiLevelType w:val="multilevel"/>
    <w:tmpl w:val="C08438A6"/>
    <w:lvl w:ilvl="0">
      <w:start w:val="2"/>
      <w:numFmt w:val="decimal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4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71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28" w:firstLine="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85" w:firstLine="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42" w:firstLine="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99" w:firstLine="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56" w:firstLine="0"/>
      </w:pPr>
      <w:rPr>
        <w:rFonts w:hint="default"/>
        <w:b/>
      </w:rPr>
    </w:lvl>
  </w:abstractNum>
  <w:abstractNum w:abstractNumId="11" w15:restartNumberingAfterBreak="0">
    <w:nsid w:val="48B50B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292973"/>
    <w:multiLevelType w:val="hybridMultilevel"/>
    <w:tmpl w:val="21D43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27E4E"/>
    <w:multiLevelType w:val="hybridMultilevel"/>
    <w:tmpl w:val="5DE81BB4"/>
    <w:lvl w:ilvl="0" w:tplc="1CC078CA">
      <w:start w:val="1"/>
      <w:numFmt w:val="decimal"/>
      <w:pStyle w:val="Usnesen"/>
      <w:lvlText w:val="Usnesení č. %1.: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A015A"/>
    <w:multiLevelType w:val="multilevel"/>
    <w:tmpl w:val="632C28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6910549F"/>
    <w:multiLevelType w:val="multilevel"/>
    <w:tmpl w:val="34A2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6D67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BA08C9"/>
    <w:multiLevelType w:val="multilevel"/>
    <w:tmpl w:val="74A8C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584FEF"/>
    <w:multiLevelType w:val="hybridMultilevel"/>
    <w:tmpl w:val="B8D42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630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5891373">
    <w:abstractNumId w:val="9"/>
  </w:num>
  <w:num w:numId="2" w16cid:durableId="306131083">
    <w:abstractNumId w:val="7"/>
  </w:num>
  <w:num w:numId="3" w16cid:durableId="132137192">
    <w:abstractNumId w:val="10"/>
  </w:num>
  <w:num w:numId="4" w16cid:durableId="22094318">
    <w:abstractNumId w:val="14"/>
  </w:num>
  <w:num w:numId="5" w16cid:durableId="954671623">
    <w:abstractNumId w:val="1"/>
  </w:num>
  <w:num w:numId="6" w16cid:durableId="1376009185">
    <w:abstractNumId w:val="8"/>
  </w:num>
  <w:num w:numId="7" w16cid:durableId="1901400795">
    <w:abstractNumId w:val="0"/>
  </w:num>
  <w:num w:numId="8" w16cid:durableId="390925128">
    <w:abstractNumId w:val="11"/>
  </w:num>
  <w:num w:numId="9" w16cid:durableId="1129474479">
    <w:abstractNumId w:val="5"/>
  </w:num>
  <w:num w:numId="10" w16cid:durableId="590814048">
    <w:abstractNumId w:val="12"/>
  </w:num>
  <w:num w:numId="11" w16cid:durableId="1993899141">
    <w:abstractNumId w:val="16"/>
  </w:num>
  <w:num w:numId="12" w16cid:durableId="346104183">
    <w:abstractNumId w:val="17"/>
  </w:num>
  <w:num w:numId="13" w16cid:durableId="714543467">
    <w:abstractNumId w:val="3"/>
  </w:num>
  <w:num w:numId="14" w16cid:durableId="993527814">
    <w:abstractNumId w:val="18"/>
  </w:num>
  <w:num w:numId="15" w16cid:durableId="1802264097">
    <w:abstractNumId w:val="2"/>
  </w:num>
  <w:num w:numId="16" w16cid:durableId="1541431762">
    <w:abstractNumId w:val="19"/>
  </w:num>
  <w:num w:numId="17" w16cid:durableId="1084914808">
    <w:abstractNumId w:val="15"/>
  </w:num>
  <w:num w:numId="18" w16cid:durableId="1108623612">
    <w:abstractNumId w:val="4"/>
  </w:num>
  <w:num w:numId="19" w16cid:durableId="1898274206">
    <w:abstractNumId w:val="13"/>
  </w:num>
  <w:num w:numId="20" w16cid:durableId="824050641">
    <w:abstractNumId w:val="13"/>
  </w:num>
  <w:num w:numId="21" w16cid:durableId="1555001534">
    <w:abstractNumId w:val="13"/>
    <w:lvlOverride w:ilvl="0">
      <w:startOverride w:val="1"/>
    </w:lvlOverride>
  </w:num>
  <w:num w:numId="22" w16cid:durableId="1971739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01"/>
    <w:rsid w:val="0002443C"/>
    <w:rsid w:val="00045F8B"/>
    <w:rsid w:val="00057BD3"/>
    <w:rsid w:val="00060153"/>
    <w:rsid w:val="00067242"/>
    <w:rsid w:val="000707F0"/>
    <w:rsid w:val="00082F4F"/>
    <w:rsid w:val="000A214A"/>
    <w:rsid w:val="000A7B87"/>
    <w:rsid w:val="000B4C16"/>
    <w:rsid w:val="000B4E8D"/>
    <w:rsid w:val="000C367A"/>
    <w:rsid w:val="000D0847"/>
    <w:rsid w:val="001077B6"/>
    <w:rsid w:val="00132F83"/>
    <w:rsid w:val="001433B4"/>
    <w:rsid w:val="00147056"/>
    <w:rsid w:val="001606C5"/>
    <w:rsid w:val="00165975"/>
    <w:rsid w:val="00166D08"/>
    <w:rsid w:val="00166D47"/>
    <w:rsid w:val="00195ECA"/>
    <w:rsid w:val="001B6A1C"/>
    <w:rsid w:val="001C3BEE"/>
    <w:rsid w:val="001C4E9F"/>
    <w:rsid w:val="001C7821"/>
    <w:rsid w:val="001F7104"/>
    <w:rsid w:val="00203C27"/>
    <w:rsid w:val="0021041E"/>
    <w:rsid w:val="002123E9"/>
    <w:rsid w:val="002371B8"/>
    <w:rsid w:val="0024142F"/>
    <w:rsid w:val="00247394"/>
    <w:rsid w:val="0025237C"/>
    <w:rsid w:val="0025580A"/>
    <w:rsid w:val="0026183D"/>
    <w:rsid w:val="00280492"/>
    <w:rsid w:val="00284569"/>
    <w:rsid w:val="002A6939"/>
    <w:rsid w:val="002B0EC3"/>
    <w:rsid w:val="002C20E3"/>
    <w:rsid w:val="002D5143"/>
    <w:rsid w:val="002F6989"/>
    <w:rsid w:val="002F7101"/>
    <w:rsid w:val="00310959"/>
    <w:rsid w:val="0031601D"/>
    <w:rsid w:val="00332E20"/>
    <w:rsid w:val="00342656"/>
    <w:rsid w:val="00347C0B"/>
    <w:rsid w:val="0035303D"/>
    <w:rsid w:val="003549CF"/>
    <w:rsid w:val="00355CE1"/>
    <w:rsid w:val="003759F2"/>
    <w:rsid w:val="00385E41"/>
    <w:rsid w:val="00393313"/>
    <w:rsid w:val="003C1CEF"/>
    <w:rsid w:val="003D0ED3"/>
    <w:rsid w:val="003D3FF6"/>
    <w:rsid w:val="003E23FD"/>
    <w:rsid w:val="003F7E06"/>
    <w:rsid w:val="00402E0A"/>
    <w:rsid w:val="00406060"/>
    <w:rsid w:val="0042297D"/>
    <w:rsid w:val="00432EC8"/>
    <w:rsid w:val="0043774E"/>
    <w:rsid w:val="0044225D"/>
    <w:rsid w:val="004535A1"/>
    <w:rsid w:val="00453AB9"/>
    <w:rsid w:val="00473DB3"/>
    <w:rsid w:val="004741A0"/>
    <w:rsid w:val="00477AEE"/>
    <w:rsid w:val="00482C66"/>
    <w:rsid w:val="00487C70"/>
    <w:rsid w:val="00490907"/>
    <w:rsid w:val="004B15F6"/>
    <w:rsid w:val="004C05D2"/>
    <w:rsid w:val="004C35AB"/>
    <w:rsid w:val="004F18D9"/>
    <w:rsid w:val="004F25B6"/>
    <w:rsid w:val="004F4858"/>
    <w:rsid w:val="004F488E"/>
    <w:rsid w:val="00537468"/>
    <w:rsid w:val="005375AF"/>
    <w:rsid w:val="005471F5"/>
    <w:rsid w:val="00550756"/>
    <w:rsid w:val="00552C7D"/>
    <w:rsid w:val="00556ADB"/>
    <w:rsid w:val="0056277F"/>
    <w:rsid w:val="00582951"/>
    <w:rsid w:val="00585C06"/>
    <w:rsid w:val="005A1CF6"/>
    <w:rsid w:val="005A2C1F"/>
    <w:rsid w:val="005B592A"/>
    <w:rsid w:val="005C306C"/>
    <w:rsid w:val="005C7B22"/>
    <w:rsid w:val="005F4EBA"/>
    <w:rsid w:val="00650F33"/>
    <w:rsid w:val="006751B9"/>
    <w:rsid w:val="00676A31"/>
    <w:rsid w:val="0067721A"/>
    <w:rsid w:val="006812E0"/>
    <w:rsid w:val="0069768C"/>
    <w:rsid w:val="006A4BB8"/>
    <w:rsid w:val="006A77B5"/>
    <w:rsid w:val="006F63F0"/>
    <w:rsid w:val="0070221C"/>
    <w:rsid w:val="00717ACD"/>
    <w:rsid w:val="00726B12"/>
    <w:rsid w:val="00770D96"/>
    <w:rsid w:val="00796799"/>
    <w:rsid w:val="007A377A"/>
    <w:rsid w:val="007B1947"/>
    <w:rsid w:val="007B30CC"/>
    <w:rsid w:val="007B7755"/>
    <w:rsid w:val="007C251F"/>
    <w:rsid w:val="007C4642"/>
    <w:rsid w:val="007D46B1"/>
    <w:rsid w:val="007E2AB7"/>
    <w:rsid w:val="007E4FF0"/>
    <w:rsid w:val="007F0526"/>
    <w:rsid w:val="007F3E67"/>
    <w:rsid w:val="0081635F"/>
    <w:rsid w:val="00820F37"/>
    <w:rsid w:val="008262D3"/>
    <w:rsid w:val="00856E52"/>
    <w:rsid w:val="008714B0"/>
    <w:rsid w:val="00871FF7"/>
    <w:rsid w:val="00877554"/>
    <w:rsid w:val="008A0CF2"/>
    <w:rsid w:val="008C438A"/>
    <w:rsid w:val="008F012D"/>
    <w:rsid w:val="008F4D9F"/>
    <w:rsid w:val="008F79BA"/>
    <w:rsid w:val="009002F9"/>
    <w:rsid w:val="00904194"/>
    <w:rsid w:val="0090447F"/>
    <w:rsid w:val="009079D5"/>
    <w:rsid w:val="00911175"/>
    <w:rsid w:val="0091421E"/>
    <w:rsid w:val="0091549C"/>
    <w:rsid w:val="00927E79"/>
    <w:rsid w:val="00936F31"/>
    <w:rsid w:val="009409BA"/>
    <w:rsid w:val="0094595B"/>
    <w:rsid w:val="009470E8"/>
    <w:rsid w:val="00952381"/>
    <w:rsid w:val="00960FD6"/>
    <w:rsid w:val="009715FD"/>
    <w:rsid w:val="0098699B"/>
    <w:rsid w:val="009A4E8A"/>
    <w:rsid w:val="009A6A67"/>
    <w:rsid w:val="009B4123"/>
    <w:rsid w:val="009B4B35"/>
    <w:rsid w:val="009C1F60"/>
    <w:rsid w:val="009D6614"/>
    <w:rsid w:val="009E6828"/>
    <w:rsid w:val="009F0C60"/>
    <w:rsid w:val="00A048BC"/>
    <w:rsid w:val="00A05D41"/>
    <w:rsid w:val="00A12923"/>
    <w:rsid w:val="00A20B7F"/>
    <w:rsid w:val="00A361CE"/>
    <w:rsid w:val="00A36E0A"/>
    <w:rsid w:val="00A40C45"/>
    <w:rsid w:val="00A47405"/>
    <w:rsid w:val="00A57251"/>
    <w:rsid w:val="00A6461F"/>
    <w:rsid w:val="00A97553"/>
    <w:rsid w:val="00AB0DB2"/>
    <w:rsid w:val="00AB2E95"/>
    <w:rsid w:val="00AD1737"/>
    <w:rsid w:val="00B12D96"/>
    <w:rsid w:val="00B22797"/>
    <w:rsid w:val="00B32AE8"/>
    <w:rsid w:val="00B513FF"/>
    <w:rsid w:val="00B51857"/>
    <w:rsid w:val="00BA1D41"/>
    <w:rsid w:val="00BA7011"/>
    <w:rsid w:val="00BA7E09"/>
    <w:rsid w:val="00BC1D9A"/>
    <w:rsid w:val="00BC524C"/>
    <w:rsid w:val="00BD207B"/>
    <w:rsid w:val="00BD3511"/>
    <w:rsid w:val="00BE7385"/>
    <w:rsid w:val="00C21665"/>
    <w:rsid w:val="00C32FBE"/>
    <w:rsid w:val="00C37317"/>
    <w:rsid w:val="00C43FCC"/>
    <w:rsid w:val="00C46D9D"/>
    <w:rsid w:val="00C832F8"/>
    <w:rsid w:val="00C85617"/>
    <w:rsid w:val="00C90DEA"/>
    <w:rsid w:val="00C9239E"/>
    <w:rsid w:val="00C94E6E"/>
    <w:rsid w:val="00CA255F"/>
    <w:rsid w:val="00CB3016"/>
    <w:rsid w:val="00CC0D52"/>
    <w:rsid w:val="00CC3763"/>
    <w:rsid w:val="00CE4652"/>
    <w:rsid w:val="00CF25FF"/>
    <w:rsid w:val="00D02CE6"/>
    <w:rsid w:val="00D074C0"/>
    <w:rsid w:val="00D15C8C"/>
    <w:rsid w:val="00D35906"/>
    <w:rsid w:val="00D54875"/>
    <w:rsid w:val="00D55F56"/>
    <w:rsid w:val="00D7026B"/>
    <w:rsid w:val="00D725C8"/>
    <w:rsid w:val="00D8072A"/>
    <w:rsid w:val="00D843EC"/>
    <w:rsid w:val="00D873D4"/>
    <w:rsid w:val="00D901C1"/>
    <w:rsid w:val="00D918E4"/>
    <w:rsid w:val="00DA5BE8"/>
    <w:rsid w:val="00DB7086"/>
    <w:rsid w:val="00DD3BA5"/>
    <w:rsid w:val="00E01F79"/>
    <w:rsid w:val="00E05AF7"/>
    <w:rsid w:val="00E06FA9"/>
    <w:rsid w:val="00E20BC8"/>
    <w:rsid w:val="00E24F44"/>
    <w:rsid w:val="00E269C3"/>
    <w:rsid w:val="00E40304"/>
    <w:rsid w:val="00E63B4D"/>
    <w:rsid w:val="00E63B5D"/>
    <w:rsid w:val="00E649AE"/>
    <w:rsid w:val="00E71A0D"/>
    <w:rsid w:val="00E9287E"/>
    <w:rsid w:val="00EA3D15"/>
    <w:rsid w:val="00EA6DCE"/>
    <w:rsid w:val="00EB0B4B"/>
    <w:rsid w:val="00EB1487"/>
    <w:rsid w:val="00EB3BF4"/>
    <w:rsid w:val="00EC751A"/>
    <w:rsid w:val="00ED04FA"/>
    <w:rsid w:val="00F104B1"/>
    <w:rsid w:val="00F2447A"/>
    <w:rsid w:val="00F246B5"/>
    <w:rsid w:val="00F31518"/>
    <w:rsid w:val="00F44EB7"/>
    <w:rsid w:val="00F463F5"/>
    <w:rsid w:val="00F4713E"/>
    <w:rsid w:val="00F74F2F"/>
    <w:rsid w:val="00F756FA"/>
    <w:rsid w:val="00F81983"/>
    <w:rsid w:val="00F847F7"/>
    <w:rsid w:val="00F93D52"/>
    <w:rsid w:val="00FA5D03"/>
    <w:rsid w:val="00FE29E4"/>
    <w:rsid w:val="00FF0F30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C8D1"/>
  <w15:chartTrackingRefBased/>
  <w15:docId w15:val="{AB8C353B-9C1D-4144-B482-073A739B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7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6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10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F7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F7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F7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F315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5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5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18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E06FA9"/>
    <w:rPr>
      <w:i/>
      <w:iCs/>
      <w:color w:val="4472C4" w:themeColor="accent1"/>
    </w:rPr>
  </w:style>
  <w:style w:type="table" w:styleId="Mkatabulky">
    <w:name w:val="Table Grid"/>
    <w:basedOn w:val="Normlntabulka"/>
    <w:uiPriority w:val="39"/>
    <w:rsid w:val="000A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A6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A6A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snesen">
    <w:name w:val="Usnesení"/>
    <w:basedOn w:val="Nadpis3"/>
    <w:link w:val="UsnesenChar"/>
    <w:qFormat/>
    <w:rsid w:val="00585C06"/>
    <w:pPr>
      <w:numPr>
        <w:numId w:val="19"/>
      </w:numPr>
      <w:spacing w:line="240" w:lineRule="auto"/>
    </w:pPr>
    <w:rPr>
      <w:i/>
      <w:color w:val="2F5496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qFormat/>
    <w:rsid w:val="004F25B6"/>
    <w:pPr>
      <w:outlineLvl w:val="9"/>
    </w:pPr>
    <w:rPr>
      <w:lang w:eastAsia="cs-CZ"/>
    </w:rPr>
  </w:style>
  <w:style w:type="character" w:customStyle="1" w:styleId="UsnesenChar">
    <w:name w:val="Usnesení Char"/>
    <w:basedOn w:val="Nadpis3Char"/>
    <w:link w:val="Usnesen"/>
    <w:rsid w:val="00585C06"/>
    <w:rPr>
      <w:rFonts w:asciiTheme="majorHAnsi" w:eastAsiaTheme="majorEastAsia" w:hAnsiTheme="majorHAnsi" w:cstheme="majorBidi"/>
      <w:i/>
      <w:color w:val="2F5496" w:themeColor="accent1" w:themeShade="BF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4F25B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F25B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4F25B6"/>
    <w:rPr>
      <w:color w:val="0563C1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E01F79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406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6F455DC76154D8F9CB36EEC5534EA" ma:contentTypeVersion="9" ma:contentTypeDescription="Vytvoří nový dokument" ma:contentTypeScope="" ma:versionID="1d28d740ce8c862c59bac4f89d65a505">
  <xsd:schema xmlns:xsd="http://www.w3.org/2001/XMLSchema" xmlns:xs="http://www.w3.org/2001/XMLSchema" xmlns:p="http://schemas.microsoft.com/office/2006/metadata/properties" xmlns:ns3="005188e8-fa27-4d50-a03b-8e22adcff1f7" targetNamespace="http://schemas.microsoft.com/office/2006/metadata/properties" ma:root="true" ma:fieldsID="0806f916dc653b64a0cba9adb7392991" ns3:_="">
    <xsd:import namespace="005188e8-fa27-4d50-a03b-8e22adcff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88e8-fa27-4d50-a03b-8e22adcff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8B76-E6B0-45AF-B6DA-9911BF05F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188e8-fa27-4d50-a03b-8e22adcff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E8A8C-27F4-4F0C-85E4-0398C5849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C8EB29-D9CC-444F-BC07-909CEAB72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09F38-E48E-48B2-AC2D-8538C974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4286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Tylšarová</dc:creator>
  <cp:keywords/>
  <dc:description/>
  <cp:lastModifiedBy>Martin Pýcha</cp:lastModifiedBy>
  <cp:revision>2</cp:revision>
  <dcterms:created xsi:type="dcterms:W3CDTF">2023-05-12T10:56:00Z</dcterms:created>
  <dcterms:modified xsi:type="dcterms:W3CDTF">2023-05-12T10:56:00Z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0x010100A896F455DC76154D8F9CB36EEC5534EA</vt:lpwstr>
  </property>
</Properties>
</file>