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DB5CD" w14:textId="77777777" w:rsidR="00C472CD" w:rsidRPr="00000DD1" w:rsidRDefault="00C472CD" w:rsidP="00C472CD">
      <w:pPr>
        <w:jc w:val="center"/>
        <w:rPr>
          <w:b/>
          <w:bCs/>
        </w:rPr>
      </w:pPr>
      <w:r w:rsidRPr="00000DD1">
        <w:rPr>
          <w:b/>
          <w:bCs/>
        </w:rPr>
        <w:t>PODKLADY PRO JEDNÁNÍ PRACOVNÍ SKUPINY MONITOROVACÍHO VÝBORU</w:t>
      </w:r>
    </w:p>
    <w:p w14:paraId="3C4438DD" w14:textId="5F70CEB6" w:rsidR="00C472CD" w:rsidRDefault="00C472CD" w:rsidP="00C472CD">
      <w:pPr>
        <w:jc w:val="center"/>
        <w:rPr>
          <w:b/>
          <w:bCs/>
        </w:rPr>
      </w:pPr>
      <w:r w:rsidRPr="00000DD1">
        <w:rPr>
          <w:b/>
          <w:bCs/>
        </w:rPr>
        <w:t xml:space="preserve">INTERVENCE: </w:t>
      </w:r>
      <w:r>
        <w:rPr>
          <w:b/>
          <w:bCs/>
        </w:rPr>
        <w:t>36.73 INVESTICE DO LESNICKÉ INFRASTRUKTURY</w:t>
      </w:r>
    </w:p>
    <w:p w14:paraId="20464363" w14:textId="46D7CA18" w:rsidR="00C472CD" w:rsidRPr="00000DD1" w:rsidRDefault="00C472CD" w:rsidP="00C472CD">
      <w:pPr>
        <w:jc w:val="center"/>
        <w:rPr>
          <w:b/>
          <w:bCs/>
        </w:rPr>
      </w:pPr>
      <w:r>
        <w:rPr>
          <w:b/>
          <w:bCs/>
        </w:rPr>
        <w:t>ZÁMĚR A) INVESTICE DO LESNÍCH CEST</w:t>
      </w:r>
    </w:p>
    <w:p w14:paraId="42940348" w14:textId="77777777" w:rsidR="00C472CD" w:rsidRDefault="00C472CD" w:rsidP="00C472CD">
      <w:pPr>
        <w:jc w:val="center"/>
      </w:pPr>
      <w:r>
        <w:t>2. kolo příjmu žádostí</w:t>
      </w:r>
    </w:p>
    <w:p w14:paraId="434EC496" w14:textId="77777777" w:rsidR="00C472CD" w:rsidRDefault="00C472CD" w:rsidP="00C472CD">
      <w:pPr>
        <w:spacing w:line="240" w:lineRule="auto"/>
        <w:ind w:firstLine="0"/>
        <w:rPr>
          <w:b/>
          <w:bCs/>
        </w:rPr>
      </w:pPr>
      <w:r>
        <w:rPr>
          <w:b/>
          <w:bCs/>
        </w:rPr>
        <w:t>Rozpočet intervence a plánované cíle</w:t>
      </w:r>
    </w:p>
    <w:p w14:paraId="06FA1481" w14:textId="5610B81D" w:rsidR="0031787B" w:rsidRPr="006030C4" w:rsidRDefault="0031787B" w:rsidP="0031787B">
      <w:pPr>
        <w:spacing w:line="240" w:lineRule="auto"/>
        <w:ind w:firstLine="0"/>
      </w:pPr>
      <w:r>
        <w:t xml:space="preserve">Celková finanční alokace na tuto intervenci činí </w:t>
      </w:r>
      <w:r>
        <w:rPr>
          <w:b/>
          <w:bCs/>
        </w:rPr>
        <w:t>80 000 000</w:t>
      </w:r>
      <w:r w:rsidRPr="006030C4">
        <w:rPr>
          <w:b/>
          <w:bCs/>
        </w:rPr>
        <w:t> EUR</w:t>
      </w:r>
      <w:r>
        <w:t xml:space="preserve">, tedy cca 1,9 mld. Kč. Intervence bude otevřena k příjmu žádostí každoročně, celkem tedy 5x za programové období 2023–2027. Cílem je podpořit </w:t>
      </w:r>
      <w:r>
        <w:rPr>
          <w:b/>
          <w:bCs/>
        </w:rPr>
        <w:t>800</w:t>
      </w:r>
      <w:r>
        <w:t xml:space="preserve"> projektů za celou intervenci. Intervence je rozdělena do 2 záměrů, které budou spouštěny s ohledem na aktuální situaci a potřeby. Alokace pro jednotlivé záměry budou stanovovány podle nároku v rámci podaných žádostí.</w:t>
      </w:r>
    </w:p>
    <w:p w14:paraId="42F13CE7" w14:textId="77777777" w:rsidR="0031787B" w:rsidRDefault="0031787B" w:rsidP="0031787B">
      <w:pPr>
        <w:spacing w:line="240" w:lineRule="auto"/>
        <w:ind w:firstLine="0"/>
        <w:rPr>
          <w:b/>
          <w:bCs/>
        </w:rPr>
      </w:pPr>
      <w:r>
        <w:rPr>
          <w:b/>
          <w:bCs/>
        </w:rPr>
        <w:t>Definice žadatele</w:t>
      </w:r>
    </w:p>
    <w:p w14:paraId="3BBA51EB" w14:textId="6881B2E3" w:rsidR="0031787B" w:rsidRPr="00F1034E" w:rsidRDefault="0031787B" w:rsidP="0031787B">
      <w:pPr>
        <w:pStyle w:val="Odstavecseseznamem"/>
        <w:numPr>
          <w:ilvl w:val="0"/>
          <w:numId w:val="1"/>
        </w:numPr>
        <w:spacing w:after="200" w:line="240" w:lineRule="auto"/>
        <w:ind w:left="284" w:hanging="284"/>
        <w:jc w:val="both"/>
        <w:rPr>
          <w:b/>
          <w:bCs/>
        </w:rPr>
      </w:pPr>
      <w:r>
        <w:t>Držitelé lesů hospodařící podle lesního hospodářského plánu</w:t>
      </w:r>
    </w:p>
    <w:p w14:paraId="75E582B4" w14:textId="77777777" w:rsidR="0031787B" w:rsidRPr="00F1034E" w:rsidRDefault="0031787B" w:rsidP="0031787B">
      <w:pPr>
        <w:pStyle w:val="Odstavecseseznamem"/>
        <w:numPr>
          <w:ilvl w:val="0"/>
          <w:numId w:val="1"/>
        </w:numPr>
        <w:spacing w:after="200" w:line="240" w:lineRule="auto"/>
        <w:ind w:left="284" w:hanging="284"/>
        <w:jc w:val="both"/>
        <w:rPr>
          <w:b/>
          <w:bCs/>
        </w:rPr>
      </w:pPr>
      <w:r>
        <w:t>Držitelé nestátních lesů hospodařící podle lesní hospodářské osnovy na min. výměře 3 ha</w:t>
      </w:r>
    </w:p>
    <w:p w14:paraId="00D42789" w14:textId="77777777" w:rsidR="0031787B" w:rsidRDefault="0031787B" w:rsidP="0031787B">
      <w:pPr>
        <w:spacing w:line="240" w:lineRule="auto"/>
        <w:ind w:firstLine="0"/>
        <w:rPr>
          <w:b/>
          <w:bCs/>
        </w:rPr>
      </w:pPr>
      <w:r>
        <w:rPr>
          <w:b/>
          <w:bCs/>
        </w:rPr>
        <w:t>Druh a výše dotace</w:t>
      </w:r>
    </w:p>
    <w:p w14:paraId="65FD54DC" w14:textId="77777777" w:rsidR="0031787B" w:rsidRPr="003523C3" w:rsidRDefault="0031787B" w:rsidP="0031787B">
      <w:pPr>
        <w:spacing w:after="0" w:line="240" w:lineRule="auto"/>
        <w:ind w:firstLine="0"/>
        <w:rPr>
          <w:rFonts w:eastAsia="Calibri" w:cs="Times New Roman"/>
        </w:rPr>
      </w:pPr>
      <w:r w:rsidRPr="003523C3">
        <w:rPr>
          <w:rFonts w:eastAsia="Calibri" w:cs="Times New Roman"/>
        </w:rPr>
        <w:t xml:space="preserve">Druh dotace: přímá nenávratná dotace </w:t>
      </w:r>
    </w:p>
    <w:p w14:paraId="42AD6E90" w14:textId="108AB962" w:rsidR="0031787B" w:rsidRPr="003523C3" w:rsidRDefault="0031787B" w:rsidP="0031787B">
      <w:pPr>
        <w:spacing w:after="0" w:line="240" w:lineRule="auto"/>
        <w:ind w:firstLine="0"/>
        <w:rPr>
          <w:rFonts w:eastAsia="Calibri" w:cs="Times New Roman"/>
        </w:rPr>
      </w:pPr>
      <w:r w:rsidRPr="003523C3">
        <w:rPr>
          <w:rFonts w:eastAsia="Calibri" w:cs="Times New Roman"/>
        </w:rPr>
        <w:t xml:space="preserve">Výše dotace: </w:t>
      </w:r>
      <w:r>
        <w:rPr>
          <w:rFonts w:eastAsia="Calibri" w:cs="Times New Roman"/>
        </w:rPr>
        <w:t>8</w:t>
      </w:r>
      <w:r w:rsidRPr="003523C3">
        <w:rPr>
          <w:rFonts w:eastAsia="Calibri" w:cs="Times New Roman"/>
        </w:rPr>
        <w:t>0 % výdajů, ze kterých je stanovena dotace</w:t>
      </w:r>
    </w:p>
    <w:p w14:paraId="12776C2C" w14:textId="77777777" w:rsidR="0031787B" w:rsidRPr="003523C3" w:rsidRDefault="0031787B" w:rsidP="0031787B">
      <w:pPr>
        <w:spacing w:after="0" w:line="240" w:lineRule="auto"/>
        <w:ind w:firstLine="0"/>
        <w:rPr>
          <w:rFonts w:eastAsia="Calibri" w:cs="Times New Roman"/>
        </w:rPr>
      </w:pPr>
    </w:p>
    <w:p w14:paraId="0A7D9001" w14:textId="77777777" w:rsidR="0031787B" w:rsidRPr="003523C3" w:rsidRDefault="0031787B" w:rsidP="0031787B">
      <w:pPr>
        <w:spacing w:after="0" w:line="240" w:lineRule="auto"/>
        <w:ind w:firstLine="0"/>
        <w:rPr>
          <w:rFonts w:eastAsia="Calibri" w:cs="Times New Roman"/>
        </w:rPr>
      </w:pPr>
      <w:r w:rsidRPr="003523C3">
        <w:rPr>
          <w:rFonts w:eastAsia="Calibri" w:cs="Times New Roman"/>
        </w:rPr>
        <w:t>Příspěvek EZFRV činí 35 % veřejných výdajů.</w:t>
      </w:r>
    </w:p>
    <w:p w14:paraId="0E0A3CCD" w14:textId="77777777" w:rsidR="0031787B" w:rsidRPr="003523C3" w:rsidRDefault="0031787B" w:rsidP="0031787B">
      <w:pPr>
        <w:spacing w:after="0" w:line="240" w:lineRule="auto"/>
        <w:ind w:firstLine="0"/>
        <w:rPr>
          <w:rFonts w:eastAsia="Calibri" w:cs="Times New Roman"/>
        </w:rPr>
      </w:pPr>
      <w:r w:rsidRPr="003523C3">
        <w:rPr>
          <w:rFonts w:eastAsia="Calibri" w:cs="Times New Roman"/>
        </w:rPr>
        <w:t>Příspěvek ČR činí 65 % veřejných výdajů.</w:t>
      </w:r>
    </w:p>
    <w:p w14:paraId="39CB2E0F" w14:textId="77777777" w:rsidR="0031787B" w:rsidRPr="003523C3" w:rsidRDefault="0031787B" w:rsidP="0031787B">
      <w:pPr>
        <w:spacing w:after="0" w:line="240" w:lineRule="auto"/>
        <w:ind w:firstLine="0"/>
        <w:rPr>
          <w:rFonts w:eastAsia="Calibri" w:cs="Times New Roman"/>
        </w:rPr>
      </w:pPr>
    </w:p>
    <w:p w14:paraId="42B2C805" w14:textId="77777777" w:rsidR="0031787B" w:rsidRDefault="0031787B" w:rsidP="0031787B">
      <w:pPr>
        <w:spacing w:line="240" w:lineRule="auto"/>
        <w:ind w:firstLine="0"/>
        <w:rPr>
          <w:b/>
          <w:bCs/>
        </w:rPr>
      </w:pPr>
      <w:r>
        <w:rPr>
          <w:b/>
          <w:bCs/>
        </w:rPr>
        <w:t>Způsobilé výdaje</w:t>
      </w:r>
    </w:p>
    <w:p w14:paraId="5FB04819" w14:textId="47F621BD" w:rsidR="0031787B" w:rsidRDefault="0031787B" w:rsidP="0031787B">
      <w:pPr>
        <w:pStyle w:val="Odstavecseseznamem"/>
        <w:numPr>
          <w:ilvl w:val="0"/>
          <w:numId w:val="1"/>
        </w:numPr>
        <w:spacing w:after="200" w:line="240" w:lineRule="auto"/>
        <w:ind w:left="284" w:hanging="284"/>
        <w:jc w:val="both"/>
      </w:pPr>
      <w:r w:rsidRPr="00F1034E">
        <w:t xml:space="preserve">Investice </w:t>
      </w:r>
      <w:r>
        <w:t>do výstavby nových lesních cest a rekonstrukcí stávajících lesních cest</w:t>
      </w:r>
    </w:p>
    <w:p w14:paraId="5DF4712D" w14:textId="039C52C4" w:rsidR="0031787B" w:rsidRDefault="0031787B" w:rsidP="0031787B">
      <w:pPr>
        <w:pStyle w:val="Odstavecseseznamem"/>
        <w:numPr>
          <w:ilvl w:val="0"/>
          <w:numId w:val="1"/>
        </w:numPr>
        <w:spacing w:after="200" w:line="240" w:lineRule="auto"/>
        <w:ind w:left="284" w:hanging="284"/>
        <w:jc w:val="both"/>
      </w:pPr>
      <w:r>
        <w:t>Projekční a průzkumné práce a inženýrská činnost během realizace projektu do výše 20 % způsobilých výdajů</w:t>
      </w:r>
    </w:p>
    <w:p w14:paraId="08CAD096" w14:textId="37228E44" w:rsidR="0031787B" w:rsidRDefault="0031787B" w:rsidP="0031787B">
      <w:pPr>
        <w:pStyle w:val="Odstavecseseznamem"/>
        <w:numPr>
          <w:ilvl w:val="0"/>
          <w:numId w:val="1"/>
        </w:numPr>
        <w:spacing w:after="200" w:line="240" w:lineRule="auto"/>
        <w:ind w:left="284" w:hanging="284"/>
        <w:jc w:val="both"/>
      </w:pPr>
      <w:r>
        <w:t>Nákup pozemku do výše 10 % způsobilých výdajů</w:t>
      </w:r>
    </w:p>
    <w:p w14:paraId="67B0B460" w14:textId="70CC4752" w:rsidR="0031787B" w:rsidRDefault="008F50D3" w:rsidP="0031787B">
      <w:pPr>
        <w:spacing w:line="240" w:lineRule="auto"/>
        <w:ind w:firstLine="0"/>
        <w:rPr>
          <w:b/>
          <w:bCs/>
        </w:rPr>
      </w:pPr>
      <w:r>
        <w:rPr>
          <w:b/>
          <w:bCs/>
        </w:rPr>
        <w:t>Vybraná k</w:t>
      </w:r>
      <w:r w:rsidR="0031787B">
        <w:rPr>
          <w:b/>
          <w:bCs/>
        </w:rPr>
        <w:t>ritéria přijatelnosti</w:t>
      </w:r>
    </w:p>
    <w:p w14:paraId="0104B553" w14:textId="7680F379" w:rsidR="0031787B" w:rsidRPr="008B6CEF" w:rsidRDefault="008B6CEF" w:rsidP="0031787B">
      <w:pPr>
        <w:keepNext/>
        <w:numPr>
          <w:ilvl w:val="0"/>
          <w:numId w:val="2"/>
        </w:numPr>
        <w:spacing w:after="0" w:line="240" w:lineRule="auto"/>
        <w:ind w:left="426" w:hanging="426"/>
        <w:rPr>
          <w:rFonts w:eastAsia="Calibri" w:cs="Times New Roman"/>
        </w:rPr>
      </w:pPr>
      <w:r>
        <w:rPr>
          <w:rFonts w:eastAsia="Calibri" w:cs="Times New Roman"/>
        </w:rPr>
        <w:t xml:space="preserve">Na </w:t>
      </w:r>
      <w:r>
        <w:t>projekt je vydáno souhlasné stanovisko Ministerstva životního prostředí, jehož součástí je i posouzení vlivu projektu na odtokové poměry, erozní jevy a předměty ochrany přírody; C.</w:t>
      </w:r>
    </w:p>
    <w:p w14:paraId="4C0956F4" w14:textId="6FCEC158" w:rsidR="008B6CEF" w:rsidRDefault="008B6CEF" w:rsidP="0031787B">
      <w:pPr>
        <w:keepNext/>
        <w:numPr>
          <w:ilvl w:val="0"/>
          <w:numId w:val="2"/>
        </w:numPr>
        <w:spacing w:after="0" w:line="240" w:lineRule="auto"/>
        <w:ind w:left="426" w:hanging="426"/>
        <w:rPr>
          <w:rFonts w:eastAsia="Calibri" w:cs="Times New Roman"/>
        </w:rPr>
      </w:pPr>
      <w:r>
        <w:t>Realizací projektu nedojde k navýšení hustoty lesní cestní sítě na lesním majetku žadatele nad její optimální úroveň; C.</w:t>
      </w:r>
    </w:p>
    <w:p w14:paraId="2CACDA97" w14:textId="77777777" w:rsidR="0031787B" w:rsidRDefault="0031787B" w:rsidP="0031787B">
      <w:pPr>
        <w:keepNext/>
        <w:numPr>
          <w:ilvl w:val="0"/>
          <w:numId w:val="2"/>
        </w:numPr>
        <w:spacing w:after="0" w:line="240" w:lineRule="auto"/>
        <w:ind w:left="426" w:hanging="426"/>
        <w:rPr>
          <w:rFonts w:eastAsia="Calibri" w:cs="Times New Roman"/>
        </w:rPr>
      </w:pPr>
      <w:r w:rsidRPr="00A43146">
        <w:rPr>
          <w:rFonts w:eastAsia="Calibri" w:cs="Times New Roman"/>
        </w:rPr>
        <w:t>Projekt lze realizovat na území ČR kromě hlavního města Prahy; C.</w:t>
      </w:r>
    </w:p>
    <w:p w14:paraId="0970AB7C" w14:textId="77777777" w:rsidR="00C472CD" w:rsidRDefault="00C472CD" w:rsidP="00C472CD">
      <w:pPr>
        <w:spacing w:after="160" w:line="259" w:lineRule="auto"/>
        <w:ind w:firstLine="0"/>
        <w:jc w:val="left"/>
        <w:rPr>
          <w:b/>
          <w:bCs/>
        </w:rPr>
        <w:sectPr w:rsidR="00C472CD">
          <w:pgSz w:w="11906" w:h="16838"/>
          <w:pgMar w:top="1417" w:right="1417" w:bottom="1417" w:left="1417" w:header="708" w:footer="708" w:gutter="0"/>
          <w:cols w:space="708"/>
          <w:docGrid w:linePitch="360"/>
        </w:sectPr>
      </w:pPr>
    </w:p>
    <w:p w14:paraId="426F6CEB" w14:textId="77777777" w:rsidR="00C472CD" w:rsidRDefault="00C472CD" w:rsidP="00C472CD">
      <w:pPr>
        <w:spacing w:line="240" w:lineRule="auto"/>
        <w:ind w:firstLine="0"/>
        <w:rPr>
          <w:b/>
          <w:bCs/>
        </w:rPr>
      </w:pPr>
      <w:r>
        <w:rPr>
          <w:b/>
          <w:bCs/>
        </w:rPr>
        <w:lastRenderedPageBreak/>
        <w:t>Preferenční kritéria</w:t>
      </w:r>
    </w:p>
    <w:p w14:paraId="47B2480A" w14:textId="77777777" w:rsidR="00C472CD" w:rsidRPr="00A666EE" w:rsidRDefault="00C472CD" w:rsidP="00C472CD">
      <w:pPr>
        <w:suppressAutoHyphens/>
        <w:spacing w:after="0" w:line="240" w:lineRule="auto"/>
        <w:ind w:firstLine="0"/>
        <w:rPr>
          <w:rFonts w:eastAsia="Times New Roman" w:cs="Arial"/>
          <w:b/>
          <w:lang w:eastAsia="zh-CN"/>
        </w:rPr>
      </w:pPr>
      <w:r w:rsidRPr="00A666EE">
        <w:rPr>
          <w:rFonts w:eastAsia="Times New Roman" w:cs="Arial"/>
          <w:b/>
          <w:lang w:eastAsia="zh-CN"/>
        </w:rPr>
        <w:t>Pokud bude v rámci administrativní kontroly zjištěno, že žadatel nesplňuje podmínky daného kritéria, nebudou body uděleny. V případě, kdy se žadatel posune do nižší kategorie, </w:t>
      </w:r>
      <w:proofErr w:type="gramStart"/>
      <w:r w:rsidRPr="00A666EE">
        <w:rPr>
          <w:rFonts w:eastAsia="Times New Roman" w:cs="Arial"/>
          <w:b/>
          <w:lang w:eastAsia="zh-CN"/>
        </w:rPr>
        <w:t>obdrží</w:t>
      </w:r>
      <w:proofErr w:type="gramEnd"/>
      <w:r w:rsidRPr="00A666EE">
        <w:rPr>
          <w:rFonts w:eastAsia="Times New Roman" w:cs="Arial"/>
          <w:b/>
          <w:lang w:eastAsia="zh-CN"/>
        </w:rPr>
        <w:t xml:space="preserve"> body v této nižší kategorii.</w:t>
      </w:r>
    </w:p>
    <w:p w14:paraId="1D828B37" w14:textId="77777777" w:rsidR="00C472CD" w:rsidRPr="00A666EE" w:rsidRDefault="00C472CD" w:rsidP="00C472CD">
      <w:pPr>
        <w:suppressAutoHyphens/>
        <w:spacing w:after="0" w:line="240" w:lineRule="auto"/>
        <w:ind w:firstLine="0"/>
        <w:rPr>
          <w:rFonts w:eastAsia="Times New Roman" w:cs="Arial"/>
          <w:b/>
          <w:lang w:eastAsia="zh-CN"/>
        </w:rPr>
      </w:pPr>
      <w:r w:rsidRPr="00A666EE">
        <w:rPr>
          <w:rFonts w:eastAsia="Times New Roman" w:cs="Arial"/>
          <w:b/>
          <w:lang w:eastAsia="zh-CN"/>
        </w:rPr>
        <w:t>Po udělení bodů ze strany SZIF jsou preferenční kritéria závazná a jakékoliv nesplnění podmínek preferenčních kritérií nebo předložení nepravdivých či neúplných údajů pro hodnocení preferenčních kritérií se posuzuje jako nedodržení podmínek Pravidel; C (není-li u jednotlivých kritérií uvedeno jinak).</w:t>
      </w:r>
    </w:p>
    <w:p w14:paraId="34237FD1" w14:textId="77777777" w:rsidR="00C472CD" w:rsidRPr="00A666EE" w:rsidRDefault="00C472CD" w:rsidP="00C472CD">
      <w:pPr>
        <w:suppressAutoHyphens/>
        <w:spacing w:after="0" w:line="240" w:lineRule="auto"/>
        <w:ind w:firstLine="0"/>
        <w:rPr>
          <w:rFonts w:eastAsia="Times New Roman" w:cs="Arial"/>
          <w:b/>
          <w:lang w:eastAsia="zh-CN"/>
        </w:rPr>
      </w:pPr>
    </w:p>
    <w:p w14:paraId="50EB4FAA" w14:textId="77777777" w:rsidR="00C472CD" w:rsidRPr="00A666EE" w:rsidRDefault="00C472CD" w:rsidP="00C472CD">
      <w:pPr>
        <w:suppressAutoHyphens/>
        <w:spacing w:after="0" w:line="240" w:lineRule="auto"/>
        <w:ind w:firstLine="0"/>
        <w:rPr>
          <w:rFonts w:eastAsia="Times New Roman" w:cs="Arial"/>
          <w:lang w:eastAsia="zh-CN"/>
        </w:rPr>
      </w:pPr>
      <w:r w:rsidRPr="00A666EE">
        <w:rPr>
          <w:rFonts w:eastAsia="Times New Roman" w:cs="Arial"/>
          <w:b/>
          <w:lang w:eastAsia="zh-CN"/>
        </w:rPr>
        <w:t>Veškerá níže uvedená kritéria jsou hodnotícího charakteru.</w:t>
      </w:r>
    </w:p>
    <w:p w14:paraId="6E5C0552" w14:textId="77777777" w:rsidR="00C472CD" w:rsidRPr="00A666EE" w:rsidRDefault="00C472CD" w:rsidP="00C472CD">
      <w:pPr>
        <w:widowControl w:val="0"/>
        <w:suppressAutoHyphens/>
        <w:spacing w:after="0" w:line="240" w:lineRule="atLeast"/>
        <w:ind w:right="-2" w:firstLine="0"/>
        <w:rPr>
          <w:rFonts w:eastAsia="Times New Roman" w:cs="Arial"/>
          <w:lang w:eastAsia="zh-CN"/>
        </w:rPr>
      </w:pPr>
    </w:p>
    <w:p w14:paraId="5B450F73" w14:textId="77777777" w:rsidR="00C472CD" w:rsidRPr="00A666EE" w:rsidRDefault="00C472CD" w:rsidP="00C472CD">
      <w:pPr>
        <w:widowControl w:val="0"/>
        <w:suppressAutoHyphens/>
        <w:spacing w:after="0" w:line="240" w:lineRule="atLeast"/>
        <w:ind w:right="-2" w:firstLine="0"/>
        <w:rPr>
          <w:rFonts w:eastAsia="Times New Roman" w:cs="Arial"/>
          <w:lang w:eastAsia="zh-CN"/>
        </w:rPr>
      </w:pPr>
      <w:r w:rsidRPr="00A666EE">
        <w:rPr>
          <w:rFonts w:eastAsia="Times New Roman" w:cs="Arial"/>
          <w:lang w:eastAsia="zh-CN"/>
        </w:rPr>
        <w:t xml:space="preserve">Pokud je u bodovacího kritéria uvedena i druhá úroveň číslování, lze zvolit pouze jednu možnost výběru (tj. např. pouze </w:t>
      </w:r>
      <w:r>
        <w:rPr>
          <w:rFonts w:eastAsia="Times New Roman" w:cs="Arial"/>
          <w:lang w:eastAsia="zh-CN"/>
        </w:rPr>
        <w:t>3</w:t>
      </w:r>
      <w:r w:rsidRPr="00A666EE">
        <w:rPr>
          <w:rFonts w:eastAsia="Times New Roman" w:cs="Arial"/>
          <w:lang w:eastAsia="zh-CN"/>
        </w:rPr>
        <w:t>.2.).</w:t>
      </w:r>
    </w:p>
    <w:p w14:paraId="036EA7F1" w14:textId="77777777" w:rsidR="00C472CD" w:rsidRPr="00A666EE" w:rsidRDefault="00C472CD" w:rsidP="00C472CD">
      <w:pPr>
        <w:suppressAutoHyphens/>
        <w:spacing w:after="0" w:line="240" w:lineRule="auto"/>
        <w:ind w:firstLine="0"/>
        <w:rPr>
          <w:rFonts w:eastAsia="Times New Roman" w:cs="Arial"/>
          <w:lang w:eastAsia="zh-CN"/>
        </w:rPr>
      </w:pPr>
    </w:p>
    <w:p w14:paraId="472D7103" w14:textId="5C0A689E" w:rsidR="00C472CD" w:rsidRDefault="00C472CD" w:rsidP="00C472CD">
      <w:pPr>
        <w:spacing w:after="0" w:line="240" w:lineRule="auto"/>
        <w:ind w:firstLine="0"/>
        <w:jc w:val="left"/>
        <w:rPr>
          <w:rFonts w:eastAsia="Times New Roman" w:cs="Arial"/>
          <w:lang w:eastAsia="cs-CZ"/>
        </w:rPr>
      </w:pPr>
      <w:r w:rsidRPr="00A666EE">
        <w:rPr>
          <w:rFonts w:eastAsia="Times New Roman" w:cs="Arial"/>
          <w:lang w:eastAsia="cs-CZ"/>
        </w:rPr>
        <w:t>V případě rovnosti bodů rozhoduje výše požadované dotace, tzn., žádosti s nižší požadovanou dotací mají přednost.</w:t>
      </w:r>
    </w:p>
    <w:p w14:paraId="165C6665" w14:textId="77777777" w:rsidR="00C472CD" w:rsidRDefault="00C472CD" w:rsidP="00C472CD">
      <w:pPr>
        <w:spacing w:after="0" w:line="240" w:lineRule="auto"/>
        <w:ind w:firstLine="0"/>
        <w:jc w:val="left"/>
        <w:rPr>
          <w:rFonts w:eastAsia="Times New Roman" w:cs="Arial"/>
          <w:lang w:eastAsia="cs-CZ"/>
        </w:rPr>
      </w:pPr>
    </w:p>
    <w:tbl>
      <w:tblPr>
        <w:tblW w:w="105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8"/>
        <w:gridCol w:w="8657"/>
        <w:gridCol w:w="1229"/>
      </w:tblGrid>
      <w:tr w:rsidR="00C472CD" w:rsidRPr="00C472CD" w14:paraId="0A76CC6C" w14:textId="77777777" w:rsidTr="00EC79BE">
        <w:trPr>
          <w:cantSplit/>
          <w:trHeight w:val="928"/>
        </w:trPr>
        <w:tc>
          <w:tcPr>
            <w:tcW w:w="708" w:type="dxa"/>
            <w:tcBorders>
              <w:top w:val="single" w:sz="8" w:space="0" w:color="auto"/>
              <w:left w:val="single" w:sz="8" w:space="0" w:color="auto"/>
              <w:bottom w:val="single" w:sz="8" w:space="0" w:color="auto"/>
              <w:right w:val="single" w:sz="8" w:space="0" w:color="auto"/>
            </w:tcBorders>
            <w:vAlign w:val="center"/>
          </w:tcPr>
          <w:p w14:paraId="4C3FF85E" w14:textId="77777777" w:rsidR="00C472CD" w:rsidRPr="00C472CD" w:rsidRDefault="00C472CD" w:rsidP="00C472CD">
            <w:pPr>
              <w:spacing w:after="0" w:line="240" w:lineRule="auto"/>
              <w:ind w:firstLine="0"/>
              <w:jc w:val="center"/>
              <w:rPr>
                <w:rFonts w:eastAsia="Times New Roman" w:cs="Arial"/>
                <w:b/>
                <w:lang w:eastAsia="cs-CZ"/>
              </w:rPr>
            </w:pPr>
            <w:r w:rsidRPr="00C472CD">
              <w:rPr>
                <w:rFonts w:eastAsia="Times New Roman" w:cs="Arial"/>
                <w:b/>
                <w:lang w:eastAsia="cs-CZ"/>
              </w:rPr>
              <w:t>Č.</w:t>
            </w:r>
          </w:p>
        </w:tc>
        <w:tc>
          <w:tcPr>
            <w:tcW w:w="8657" w:type="dxa"/>
            <w:tcBorders>
              <w:top w:val="single" w:sz="8" w:space="0" w:color="auto"/>
              <w:left w:val="single" w:sz="8" w:space="0" w:color="auto"/>
              <w:bottom w:val="single" w:sz="8" w:space="0" w:color="auto"/>
              <w:right w:val="single" w:sz="4" w:space="0" w:color="auto"/>
            </w:tcBorders>
            <w:vAlign w:val="center"/>
          </w:tcPr>
          <w:p w14:paraId="4D27FF25" w14:textId="77777777" w:rsidR="00C472CD" w:rsidRPr="00C472CD" w:rsidRDefault="00C472CD" w:rsidP="00C472CD">
            <w:pPr>
              <w:spacing w:after="0" w:line="240" w:lineRule="auto"/>
              <w:ind w:firstLine="0"/>
              <w:jc w:val="center"/>
              <w:rPr>
                <w:rFonts w:eastAsia="Times New Roman" w:cs="Times New Roman"/>
                <w:b/>
                <w:szCs w:val="24"/>
                <w:lang w:eastAsia="cs-CZ"/>
              </w:rPr>
            </w:pPr>
            <w:bookmarkStart w:id="0" w:name="_Toc424019895"/>
            <w:bookmarkStart w:id="1" w:name="_Toc424046731"/>
            <w:bookmarkStart w:id="2" w:name="_Toc424291258"/>
            <w:bookmarkStart w:id="3" w:name="_Toc426023990"/>
            <w:bookmarkStart w:id="4" w:name="_Toc426103861"/>
            <w:bookmarkStart w:id="5" w:name="_Toc444180420"/>
            <w:bookmarkStart w:id="6" w:name="_Toc453666308"/>
            <w:bookmarkStart w:id="7" w:name="_Toc455140969"/>
            <w:bookmarkStart w:id="8" w:name="_Toc469639807"/>
            <w:r w:rsidRPr="00C472CD">
              <w:rPr>
                <w:rFonts w:eastAsia="Times New Roman" w:cs="Times New Roman"/>
                <w:b/>
                <w:szCs w:val="24"/>
                <w:lang w:eastAsia="cs-CZ"/>
              </w:rPr>
              <w:t>Kritérium</w:t>
            </w:r>
            <w:bookmarkEnd w:id="0"/>
            <w:bookmarkEnd w:id="1"/>
            <w:bookmarkEnd w:id="2"/>
            <w:bookmarkEnd w:id="3"/>
            <w:bookmarkEnd w:id="4"/>
            <w:bookmarkEnd w:id="5"/>
            <w:bookmarkEnd w:id="6"/>
            <w:bookmarkEnd w:id="7"/>
            <w:bookmarkEnd w:id="8"/>
          </w:p>
        </w:tc>
        <w:tc>
          <w:tcPr>
            <w:tcW w:w="1229" w:type="dxa"/>
            <w:tcBorders>
              <w:top w:val="single" w:sz="8" w:space="0" w:color="auto"/>
              <w:left w:val="single" w:sz="4" w:space="0" w:color="auto"/>
              <w:bottom w:val="single" w:sz="8" w:space="0" w:color="auto"/>
              <w:right w:val="single" w:sz="8" w:space="0" w:color="auto"/>
            </w:tcBorders>
            <w:vAlign w:val="center"/>
          </w:tcPr>
          <w:p w14:paraId="127415D8" w14:textId="77777777" w:rsidR="00C472CD" w:rsidRPr="00C472CD" w:rsidRDefault="00C472CD" w:rsidP="00C472CD">
            <w:pPr>
              <w:spacing w:after="0" w:line="240" w:lineRule="auto"/>
              <w:ind w:firstLine="0"/>
              <w:jc w:val="center"/>
              <w:rPr>
                <w:rFonts w:eastAsia="Times New Roman" w:cs="Times New Roman"/>
                <w:i/>
                <w:lang w:eastAsia="cs-CZ"/>
              </w:rPr>
            </w:pPr>
            <w:bookmarkStart w:id="9" w:name="_Toc424019896"/>
            <w:bookmarkStart w:id="10" w:name="_Toc424046732"/>
            <w:bookmarkStart w:id="11" w:name="_Toc424291259"/>
            <w:bookmarkStart w:id="12" w:name="_Toc426023991"/>
            <w:bookmarkStart w:id="13" w:name="_Toc426103862"/>
            <w:bookmarkStart w:id="14" w:name="_Toc444180421"/>
            <w:bookmarkStart w:id="15" w:name="_Toc453666309"/>
            <w:bookmarkStart w:id="16" w:name="_Toc455140970"/>
            <w:bookmarkStart w:id="17" w:name="_Toc469639808"/>
            <w:r w:rsidRPr="00C472CD">
              <w:rPr>
                <w:rFonts w:eastAsia="Times New Roman" w:cs="Times New Roman"/>
                <w:b/>
                <w:szCs w:val="24"/>
                <w:lang w:eastAsia="cs-CZ"/>
              </w:rPr>
              <w:t>Možný bodový zisk</w:t>
            </w:r>
            <w:bookmarkEnd w:id="9"/>
            <w:bookmarkEnd w:id="10"/>
            <w:bookmarkEnd w:id="11"/>
            <w:bookmarkEnd w:id="12"/>
            <w:bookmarkEnd w:id="13"/>
            <w:bookmarkEnd w:id="14"/>
            <w:bookmarkEnd w:id="15"/>
            <w:bookmarkEnd w:id="16"/>
            <w:bookmarkEnd w:id="17"/>
          </w:p>
        </w:tc>
      </w:tr>
      <w:tr w:rsidR="00C472CD" w:rsidRPr="00C472CD" w14:paraId="4219CDBA" w14:textId="77777777" w:rsidTr="00EC79BE">
        <w:trPr>
          <w:trHeight w:val="142"/>
        </w:trPr>
        <w:tc>
          <w:tcPr>
            <w:tcW w:w="708" w:type="dxa"/>
            <w:vMerge w:val="restart"/>
            <w:tcBorders>
              <w:top w:val="single" w:sz="4" w:space="0" w:color="auto"/>
              <w:left w:val="single" w:sz="8" w:space="0" w:color="auto"/>
              <w:right w:val="single" w:sz="8" w:space="0" w:color="auto"/>
            </w:tcBorders>
            <w:vAlign w:val="center"/>
          </w:tcPr>
          <w:p w14:paraId="0A8D139E" w14:textId="77777777" w:rsidR="00C472CD" w:rsidRPr="00C472CD" w:rsidRDefault="00C472CD" w:rsidP="00C472CD">
            <w:pPr>
              <w:spacing w:after="0" w:line="240" w:lineRule="auto"/>
              <w:ind w:firstLine="0"/>
              <w:jc w:val="center"/>
              <w:rPr>
                <w:rFonts w:eastAsia="Times New Roman" w:cs="Arial"/>
                <w:b/>
                <w:bCs/>
                <w:lang w:eastAsia="cs-CZ"/>
              </w:rPr>
            </w:pPr>
            <w:r w:rsidRPr="00C472CD">
              <w:rPr>
                <w:rFonts w:eastAsia="Times New Roman" w:cs="Arial"/>
                <w:b/>
                <w:bCs/>
                <w:lang w:eastAsia="cs-CZ"/>
              </w:rPr>
              <w:t>1.</w:t>
            </w:r>
          </w:p>
        </w:tc>
        <w:tc>
          <w:tcPr>
            <w:tcW w:w="8657" w:type="dxa"/>
            <w:tcBorders>
              <w:top w:val="single" w:sz="4" w:space="0" w:color="auto"/>
              <w:left w:val="single" w:sz="8" w:space="0" w:color="auto"/>
              <w:bottom w:val="single" w:sz="4" w:space="0" w:color="auto"/>
              <w:right w:val="single" w:sz="4" w:space="0" w:color="auto"/>
            </w:tcBorders>
          </w:tcPr>
          <w:p w14:paraId="613659B5" w14:textId="077CCAB1" w:rsidR="00C472CD" w:rsidRPr="00C472CD" w:rsidRDefault="00C472CD" w:rsidP="00C472CD">
            <w:pPr>
              <w:spacing w:after="0" w:line="240" w:lineRule="auto"/>
              <w:ind w:firstLine="0"/>
              <w:rPr>
                <w:rFonts w:eastAsia="Times New Roman" w:cs="Arial"/>
                <w:b/>
                <w:lang w:eastAsia="cs-CZ"/>
              </w:rPr>
            </w:pPr>
            <w:r w:rsidRPr="00C472CD">
              <w:rPr>
                <w:rFonts w:eastAsia="Times New Roman" w:cs="Arial"/>
                <w:b/>
                <w:lang w:eastAsia="cs-CZ"/>
              </w:rPr>
              <w:t>Předmětem projektu je</w:t>
            </w:r>
            <w:r>
              <w:rPr>
                <w:b/>
                <w:bCs/>
              </w:rPr>
              <w:t xml:space="preserve"> rekonstrukce stávající lesní cesty (kód výdajů 003–004).</w:t>
            </w:r>
          </w:p>
        </w:tc>
        <w:tc>
          <w:tcPr>
            <w:tcW w:w="1229" w:type="dxa"/>
            <w:vMerge w:val="restart"/>
            <w:tcBorders>
              <w:top w:val="single" w:sz="4" w:space="0" w:color="auto"/>
              <w:left w:val="single" w:sz="4" w:space="0" w:color="auto"/>
              <w:right w:val="single" w:sz="8" w:space="0" w:color="auto"/>
            </w:tcBorders>
            <w:vAlign w:val="center"/>
          </w:tcPr>
          <w:p w14:paraId="7D1C4F44" w14:textId="77777777" w:rsidR="00C472CD" w:rsidRPr="00C472CD" w:rsidRDefault="00C472CD" w:rsidP="00C472CD">
            <w:pPr>
              <w:spacing w:after="0" w:line="240" w:lineRule="auto"/>
              <w:ind w:firstLine="0"/>
              <w:jc w:val="center"/>
              <w:rPr>
                <w:rFonts w:eastAsia="Times New Roman" w:cs="Arial"/>
                <w:lang w:eastAsia="cs-CZ"/>
              </w:rPr>
            </w:pPr>
            <w:r w:rsidRPr="00C472CD">
              <w:rPr>
                <w:rFonts w:eastAsia="Times New Roman" w:cs="Arial"/>
                <w:lang w:eastAsia="cs-CZ"/>
              </w:rPr>
              <w:t>5</w:t>
            </w:r>
          </w:p>
        </w:tc>
      </w:tr>
      <w:tr w:rsidR="00C472CD" w:rsidRPr="00C472CD" w14:paraId="700F7F7E" w14:textId="77777777" w:rsidTr="00EC79BE">
        <w:trPr>
          <w:trHeight w:val="142"/>
        </w:trPr>
        <w:tc>
          <w:tcPr>
            <w:tcW w:w="708" w:type="dxa"/>
            <w:vMerge/>
            <w:tcBorders>
              <w:left w:val="single" w:sz="8" w:space="0" w:color="auto"/>
              <w:bottom w:val="single" w:sz="4" w:space="0" w:color="auto"/>
              <w:right w:val="single" w:sz="8" w:space="0" w:color="auto"/>
            </w:tcBorders>
            <w:vAlign w:val="center"/>
          </w:tcPr>
          <w:p w14:paraId="72F6334E" w14:textId="77777777" w:rsidR="00C472CD" w:rsidRPr="00C472CD" w:rsidRDefault="00C472CD" w:rsidP="00C472CD">
            <w:pPr>
              <w:spacing w:after="0" w:line="240" w:lineRule="auto"/>
              <w:ind w:firstLine="0"/>
              <w:jc w:val="center"/>
              <w:rPr>
                <w:rFonts w:eastAsia="Times New Roman" w:cs="Arial"/>
                <w:b/>
                <w:bCs/>
                <w:lang w:eastAsia="cs-CZ"/>
              </w:rPr>
            </w:pPr>
          </w:p>
        </w:tc>
        <w:tc>
          <w:tcPr>
            <w:tcW w:w="8657" w:type="dxa"/>
            <w:tcBorders>
              <w:top w:val="single" w:sz="4" w:space="0" w:color="auto"/>
              <w:left w:val="single" w:sz="8" w:space="0" w:color="auto"/>
              <w:bottom w:val="single" w:sz="4" w:space="0" w:color="auto"/>
              <w:right w:val="single" w:sz="4" w:space="0" w:color="auto"/>
            </w:tcBorders>
          </w:tcPr>
          <w:p w14:paraId="0C82C1D4" w14:textId="1BE04CBA" w:rsidR="00C472CD" w:rsidRPr="00C472CD" w:rsidRDefault="00C472CD" w:rsidP="00C472CD">
            <w:pPr>
              <w:suppressAutoHyphens/>
              <w:spacing w:after="0" w:line="240" w:lineRule="auto"/>
              <w:ind w:firstLine="0"/>
              <w:rPr>
                <w:rFonts w:eastAsia="Times New Roman" w:cs="Arial"/>
                <w:sz w:val="24"/>
                <w:szCs w:val="24"/>
                <w:lang w:eastAsia="cs-CZ"/>
              </w:rPr>
            </w:pPr>
            <w:r w:rsidRPr="00C472CD">
              <w:rPr>
                <w:rFonts w:eastAsia="Times New Roman" w:cs="Arial"/>
                <w:sz w:val="20"/>
                <w:szCs w:val="20"/>
                <w:lang w:eastAsia="cs-CZ"/>
              </w:rPr>
              <w:t>Povaha projektu bude posuzována dle projektové dokumentace, případně na základě „Porovnání stávajících a navrhovaných parametrů lesní cesty“ dle přílohy č. 5 těchto Pravidel vypracované autorizovanou osobou (Zákon č. 360/1992 Sb., o výkonu povolání autorizovaných architektů a o výkonu povolání autorizovaných inženýrů a techniků činných ve výstavbě, ve znění pozdějších předpisů). V případě, že je v rámci projektu realizováno více úseků v rozdílných kódech výdajů (001-006), lze nárokovat body za převažující kód výdajů (dle součtu délek úseků přiřazených pod jednotlivé kódy způsobilých výdajů).</w:t>
            </w:r>
          </w:p>
        </w:tc>
        <w:tc>
          <w:tcPr>
            <w:tcW w:w="1229" w:type="dxa"/>
            <w:vMerge/>
            <w:tcBorders>
              <w:left w:val="single" w:sz="4" w:space="0" w:color="auto"/>
              <w:bottom w:val="single" w:sz="4" w:space="0" w:color="auto"/>
              <w:right w:val="single" w:sz="8" w:space="0" w:color="auto"/>
            </w:tcBorders>
            <w:vAlign w:val="center"/>
          </w:tcPr>
          <w:p w14:paraId="0F52A1A2" w14:textId="77777777" w:rsidR="00C472CD" w:rsidRPr="00C472CD" w:rsidRDefault="00C472CD" w:rsidP="00C472CD">
            <w:pPr>
              <w:spacing w:after="0" w:line="240" w:lineRule="auto"/>
              <w:ind w:firstLine="0"/>
              <w:jc w:val="center"/>
              <w:rPr>
                <w:rFonts w:eastAsia="Times New Roman" w:cs="Arial"/>
                <w:lang w:eastAsia="cs-CZ"/>
              </w:rPr>
            </w:pPr>
          </w:p>
        </w:tc>
      </w:tr>
      <w:tr w:rsidR="00C472CD" w:rsidRPr="00C472CD" w14:paraId="0B39A364" w14:textId="77777777" w:rsidTr="00EC79BE">
        <w:trPr>
          <w:trHeight w:val="110"/>
        </w:trPr>
        <w:tc>
          <w:tcPr>
            <w:tcW w:w="708" w:type="dxa"/>
            <w:tcBorders>
              <w:top w:val="single" w:sz="4" w:space="0" w:color="auto"/>
              <w:left w:val="single" w:sz="8" w:space="0" w:color="auto"/>
              <w:right w:val="single" w:sz="8" w:space="0" w:color="auto"/>
            </w:tcBorders>
            <w:vAlign w:val="center"/>
          </w:tcPr>
          <w:p w14:paraId="1D9AF518" w14:textId="77777777" w:rsidR="00C472CD" w:rsidRPr="00C472CD" w:rsidRDefault="00C472CD" w:rsidP="00C472CD">
            <w:pPr>
              <w:spacing w:after="0" w:line="240" w:lineRule="auto"/>
              <w:ind w:firstLine="0"/>
              <w:jc w:val="center"/>
              <w:rPr>
                <w:rFonts w:eastAsia="Times New Roman" w:cs="Arial"/>
                <w:b/>
                <w:bCs/>
                <w:lang w:eastAsia="cs-CZ"/>
              </w:rPr>
            </w:pPr>
            <w:r w:rsidRPr="00C472CD">
              <w:rPr>
                <w:rFonts w:eastAsia="Times New Roman" w:cs="Arial"/>
                <w:b/>
                <w:bCs/>
                <w:lang w:eastAsia="cs-CZ"/>
              </w:rPr>
              <w:t>2.</w:t>
            </w:r>
          </w:p>
        </w:tc>
        <w:tc>
          <w:tcPr>
            <w:tcW w:w="8657" w:type="dxa"/>
            <w:tcBorders>
              <w:top w:val="single" w:sz="4" w:space="0" w:color="auto"/>
              <w:left w:val="single" w:sz="8" w:space="0" w:color="auto"/>
              <w:bottom w:val="single" w:sz="4" w:space="0" w:color="auto"/>
              <w:right w:val="single" w:sz="4" w:space="0" w:color="auto"/>
            </w:tcBorders>
          </w:tcPr>
          <w:p w14:paraId="5CB957FC" w14:textId="78AB9140" w:rsidR="00C472CD" w:rsidRPr="00C472CD" w:rsidDel="00006099" w:rsidRDefault="00843A60" w:rsidP="00C472CD">
            <w:pPr>
              <w:spacing w:after="0" w:line="240" w:lineRule="auto"/>
              <w:ind w:firstLine="0"/>
              <w:rPr>
                <w:rFonts w:eastAsia="Times New Roman" w:cs="Arial"/>
                <w:b/>
                <w:lang w:eastAsia="cs-CZ"/>
              </w:rPr>
            </w:pPr>
            <w:r>
              <w:rPr>
                <w:b/>
                <w:bCs/>
              </w:rPr>
              <w:t>Lesní cesta bude opatřena nestmeleným krytem vozovky.</w:t>
            </w:r>
          </w:p>
        </w:tc>
        <w:tc>
          <w:tcPr>
            <w:tcW w:w="1229" w:type="dxa"/>
            <w:tcBorders>
              <w:top w:val="single" w:sz="4" w:space="0" w:color="auto"/>
              <w:left w:val="single" w:sz="4" w:space="0" w:color="auto"/>
              <w:right w:val="single" w:sz="8" w:space="0" w:color="auto"/>
            </w:tcBorders>
            <w:vAlign w:val="center"/>
          </w:tcPr>
          <w:p w14:paraId="4D713636" w14:textId="489C6179" w:rsidR="00C472CD" w:rsidRPr="00C472CD" w:rsidRDefault="00843A60" w:rsidP="00C472CD">
            <w:pPr>
              <w:spacing w:after="0" w:line="240" w:lineRule="auto"/>
              <w:ind w:firstLine="0"/>
              <w:jc w:val="center"/>
              <w:rPr>
                <w:rFonts w:eastAsia="Times New Roman" w:cs="Arial"/>
                <w:lang w:eastAsia="cs-CZ"/>
              </w:rPr>
            </w:pPr>
            <w:r>
              <w:rPr>
                <w:rFonts w:eastAsia="Times New Roman" w:cs="Arial"/>
                <w:lang w:eastAsia="cs-CZ"/>
              </w:rPr>
              <w:t>3</w:t>
            </w:r>
          </w:p>
        </w:tc>
      </w:tr>
      <w:tr w:rsidR="00C472CD" w:rsidRPr="00C472CD" w14:paraId="2B3B9241" w14:textId="77777777" w:rsidTr="00EC79BE">
        <w:trPr>
          <w:trHeight w:val="110"/>
        </w:trPr>
        <w:tc>
          <w:tcPr>
            <w:tcW w:w="708" w:type="dxa"/>
            <w:tcBorders>
              <w:top w:val="single" w:sz="4" w:space="0" w:color="auto"/>
              <w:left w:val="single" w:sz="8" w:space="0" w:color="auto"/>
              <w:bottom w:val="single" w:sz="4" w:space="0" w:color="auto"/>
              <w:right w:val="single" w:sz="8" w:space="0" w:color="auto"/>
            </w:tcBorders>
            <w:vAlign w:val="center"/>
          </w:tcPr>
          <w:p w14:paraId="55D6B94E" w14:textId="77777777" w:rsidR="00C472CD" w:rsidRPr="00C472CD" w:rsidRDefault="00C472CD" w:rsidP="00C472CD">
            <w:pPr>
              <w:spacing w:after="0" w:line="240" w:lineRule="auto"/>
              <w:ind w:firstLine="0"/>
              <w:jc w:val="center"/>
              <w:rPr>
                <w:rFonts w:eastAsia="Times New Roman" w:cs="Arial"/>
                <w:b/>
                <w:bCs/>
                <w:lang w:eastAsia="cs-CZ"/>
              </w:rPr>
            </w:pPr>
          </w:p>
        </w:tc>
        <w:tc>
          <w:tcPr>
            <w:tcW w:w="8657" w:type="dxa"/>
            <w:tcBorders>
              <w:top w:val="single" w:sz="4" w:space="0" w:color="auto"/>
              <w:left w:val="single" w:sz="8" w:space="0" w:color="auto"/>
              <w:bottom w:val="single" w:sz="4" w:space="0" w:color="auto"/>
              <w:right w:val="single" w:sz="4" w:space="0" w:color="auto"/>
            </w:tcBorders>
          </w:tcPr>
          <w:p w14:paraId="3C0F1715" w14:textId="0ADA1026" w:rsidR="00843A60" w:rsidRDefault="00843A60" w:rsidP="00C472CD">
            <w:pPr>
              <w:tabs>
                <w:tab w:val="left" w:pos="-2694"/>
                <w:tab w:val="num" w:pos="426"/>
              </w:tabs>
              <w:spacing w:after="0" w:line="240" w:lineRule="auto"/>
              <w:ind w:firstLine="0"/>
              <w:rPr>
                <w:rFonts w:eastAsia="Times New Roman" w:cs="Arial"/>
                <w:sz w:val="20"/>
                <w:szCs w:val="20"/>
                <w:lang w:eastAsia="cs-CZ"/>
              </w:rPr>
            </w:pPr>
            <w:r w:rsidRPr="00C472CD">
              <w:rPr>
                <w:rFonts w:eastAsia="Times New Roman" w:cs="Arial"/>
                <w:sz w:val="20"/>
                <w:szCs w:val="20"/>
                <w:lang w:eastAsia="cs-CZ"/>
              </w:rPr>
              <w:t>Hodnocení se provádí na základě údajů, které žadatel uvedl do Žádosti o dotaci.</w:t>
            </w:r>
          </w:p>
          <w:p w14:paraId="08F9540C" w14:textId="24C7F12D" w:rsidR="00843A60" w:rsidRDefault="00843A60" w:rsidP="000572CA">
            <w:pPr>
              <w:suppressAutoHyphens/>
              <w:spacing w:after="120" w:line="240" w:lineRule="auto"/>
              <w:ind w:firstLine="0"/>
              <w:rPr>
                <w:rFonts w:eastAsia="Times New Roman" w:cs="Arial"/>
                <w:sz w:val="20"/>
                <w:szCs w:val="20"/>
                <w:lang w:eastAsia="cs-CZ"/>
              </w:rPr>
            </w:pPr>
            <w:r>
              <w:rPr>
                <w:rFonts w:eastAsia="Times New Roman" w:cs="Arial"/>
                <w:sz w:val="20"/>
                <w:szCs w:val="20"/>
                <w:lang w:eastAsia="zh-CN"/>
              </w:rPr>
              <w:t>Nestmelené</w:t>
            </w:r>
            <w:r>
              <w:rPr>
                <w:rFonts w:eastAsia="Times New Roman" w:cs="Arial"/>
                <w:sz w:val="20"/>
                <w:szCs w:val="20"/>
                <w:lang w:eastAsia="cs-CZ"/>
              </w:rPr>
              <w:t xml:space="preserve"> kryty vozovky jsou: mechanicky zpevněné kamenivo, vibrovaný štěrk, štěrk – hrubé drcené kamenivo a štěrkodrť (dle kap. 5 těchto Pravidel).</w:t>
            </w:r>
          </w:p>
          <w:p w14:paraId="298FBC68" w14:textId="01AA9A97" w:rsidR="00C472CD" w:rsidRPr="00C472CD" w:rsidRDefault="00C472CD" w:rsidP="00C472CD">
            <w:pPr>
              <w:tabs>
                <w:tab w:val="left" w:pos="-2694"/>
                <w:tab w:val="num" w:pos="426"/>
              </w:tabs>
              <w:spacing w:after="0" w:line="240" w:lineRule="auto"/>
              <w:ind w:firstLine="0"/>
              <w:rPr>
                <w:rFonts w:eastAsia="Times New Roman" w:cs="Arial"/>
                <w:sz w:val="20"/>
                <w:szCs w:val="20"/>
                <w:lang w:eastAsia="cs-CZ"/>
              </w:rPr>
            </w:pPr>
            <w:r w:rsidRPr="00C472CD">
              <w:rPr>
                <w:rFonts w:eastAsia="Times New Roman" w:cs="Arial"/>
                <w:sz w:val="20"/>
                <w:szCs w:val="20"/>
                <w:lang w:eastAsia="cs-CZ"/>
              </w:rPr>
              <w:t>V případě, že je v rámci projektu realizováno více úseků v rozdílných kódech výdajů (001-00</w:t>
            </w:r>
            <w:r w:rsidR="00843A60">
              <w:rPr>
                <w:rFonts w:eastAsia="Times New Roman" w:cs="Arial"/>
                <w:sz w:val="20"/>
                <w:szCs w:val="20"/>
                <w:lang w:eastAsia="cs-CZ"/>
              </w:rPr>
              <w:t>3</w:t>
            </w:r>
            <w:r w:rsidRPr="00C472CD">
              <w:rPr>
                <w:rFonts w:eastAsia="Times New Roman" w:cs="Arial"/>
                <w:sz w:val="20"/>
                <w:szCs w:val="20"/>
                <w:lang w:eastAsia="cs-CZ"/>
              </w:rPr>
              <w:t>), lze nárokovat body za převažující kód výdajů (dle součtu délek úseků přiřazených pod jednotlivé kódy způsobilých výdajů).</w:t>
            </w:r>
          </w:p>
        </w:tc>
        <w:tc>
          <w:tcPr>
            <w:tcW w:w="1229" w:type="dxa"/>
            <w:tcBorders>
              <w:top w:val="single" w:sz="4" w:space="0" w:color="auto"/>
              <w:left w:val="single" w:sz="4" w:space="0" w:color="auto"/>
              <w:bottom w:val="single" w:sz="4" w:space="0" w:color="auto"/>
              <w:right w:val="single" w:sz="8" w:space="0" w:color="auto"/>
            </w:tcBorders>
            <w:vAlign w:val="center"/>
          </w:tcPr>
          <w:p w14:paraId="0A3B97CF" w14:textId="77777777" w:rsidR="00C472CD" w:rsidRPr="00C472CD" w:rsidRDefault="00C472CD" w:rsidP="00C472CD">
            <w:pPr>
              <w:spacing w:after="0" w:line="240" w:lineRule="auto"/>
              <w:ind w:firstLine="0"/>
              <w:jc w:val="center"/>
              <w:rPr>
                <w:rFonts w:eastAsia="Times New Roman" w:cs="Arial"/>
                <w:lang w:eastAsia="cs-CZ"/>
              </w:rPr>
            </w:pPr>
          </w:p>
        </w:tc>
      </w:tr>
      <w:tr w:rsidR="00C472CD" w:rsidRPr="00C472CD" w14:paraId="6A927DEC" w14:textId="77777777" w:rsidTr="00EC79BE">
        <w:trPr>
          <w:trHeight w:val="110"/>
        </w:trPr>
        <w:tc>
          <w:tcPr>
            <w:tcW w:w="708" w:type="dxa"/>
            <w:tcBorders>
              <w:left w:val="single" w:sz="8" w:space="0" w:color="auto"/>
              <w:bottom w:val="single" w:sz="4" w:space="0" w:color="auto"/>
              <w:right w:val="single" w:sz="8" w:space="0" w:color="auto"/>
            </w:tcBorders>
            <w:vAlign w:val="center"/>
          </w:tcPr>
          <w:p w14:paraId="276687FA" w14:textId="77777777" w:rsidR="00C472CD" w:rsidRPr="00C472CD" w:rsidRDefault="00C472CD" w:rsidP="00C472CD">
            <w:pPr>
              <w:keepNext/>
              <w:keepLines/>
              <w:spacing w:after="0" w:line="240" w:lineRule="auto"/>
              <w:ind w:firstLine="0"/>
              <w:jc w:val="center"/>
              <w:rPr>
                <w:rFonts w:eastAsia="Times New Roman" w:cs="Arial"/>
                <w:b/>
                <w:bCs/>
                <w:lang w:eastAsia="cs-CZ"/>
              </w:rPr>
            </w:pPr>
            <w:r w:rsidRPr="00C472CD">
              <w:rPr>
                <w:rFonts w:eastAsia="Times New Roman" w:cs="Arial"/>
                <w:b/>
                <w:bCs/>
                <w:lang w:eastAsia="cs-CZ"/>
              </w:rPr>
              <w:t>3.</w:t>
            </w:r>
          </w:p>
        </w:tc>
        <w:tc>
          <w:tcPr>
            <w:tcW w:w="8657" w:type="dxa"/>
            <w:tcBorders>
              <w:top w:val="single" w:sz="4" w:space="0" w:color="auto"/>
              <w:left w:val="single" w:sz="8" w:space="0" w:color="auto"/>
              <w:bottom w:val="single" w:sz="4" w:space="0" w:color="auto"/>
              <w:right w:val="single" w:sz="4" w:space="0" w:color="auto"/>
            </w:tcBorders>
          </w:tcPr>
          <w:p w14:paraId="237B5CC9" w14:textId="6D29D587" w:rsidR="00C472CD" w:rsidRPr="00C472CD" w:rsidRDefault="00A766F0" w:rsidP="00C472CD">
            <w:pPr>
              <w:keepNext/>
              <w:keepLines/>
              <w:spacing w:after="0" w:line="240" w:lineRule="auto"/>
              <w:ind w:firstLine="0"/>
              <w:rPr>
                <w:rFonts w:eastAsia="Times New Roman" w:cs="Arial"/>
                <w:b/>
                <w:lang w:eastAsia="cs-CZ"/>
              </w:rPr>
            </w:pPr>
            <w:r>
              <w:rPr>
                <w:b/>
                <w:bCs/>
              </w:rPr>
              <w:t>Součástí výdajů, ze kterých je stanovena dotace, je výhybna nebo lesní sklad usnadňující zásah IZS</w:t>
            </w:r>
            <w:r w:rsidR="00C472CD" w:rsidRPr="00C472CD">
              <w:rPr>
                <w:rFonts w:eastAsia="Times New Roman" w:cs="Arial"/>
                <w:b/>
                <w:lang w:eastAsia="cs-CZ"/>
              </w:rPr>
              <w:t>.</w:t>
            </w:r>
          </w:p>
        </w:tc>
        <w:tc>
          <w:tcPr>
            <w:tcW w:w="1229" w:type="dxa"/>
            <w:tcBorders>
              <w:left w:val="single" w:sz="4" w:space="0" w:color="auto"/>
              <w:bottom w:val="single" w:sz="4" w:space="0" w:color="auto"/>
              <w:right w:val="single" w:sz="8" w:space="0" w:color="auto"/>
            </w:tcBorders>
            <w:vAlign w:val="center"/>
          </w:tcPr>
          <w:p w14:paraId="4EA35220" w14:textId="670FA517" w:rsidR="00C472CD" w:rsidRPr="00C472CD" w:rsidRDefault="00A766F0" w:rsidP="00C472CD">
            <w:pPr>
              <w:keepNext/>
              <w:keepLines/>
              <w:spacing w:after="0" w:line="240" w:lineRule="auto"/>
              <w:ind w:firstLine="0"/>
              <w:jc w:val="center"/>
              <w:rPr>
                <w:rFonts w:eastAsia="Times New Roman" w:cs="Arial"/>
                <w:lang w:eastAsia="cs-CZ"/>
              </w:rPr>
            </w:pPr>
            <w:r>
              <w:rPr>
                <w:rFonts w:eastAsia="Times New Roman" w:cs="Arial"/>
                <w:lang w:eastAsia="cs-CZ"/>
              </w:rPr>
              <w:t>5</w:t>
            </w:r>
          </w:p>
        </w:tc>
      </w:tr>
      <w:tr w:rsidR="00C472CD" w:rsidRPr="00C472CD" w14:paraId="5E5C8E11" w14:textId="77777777" w:rsidTr="00EC79BE">
        <w:trPr>
          <w:trHeight w:val="110"/>
        </w:trPr>
        <w:tc>
          <w:tcPr>
            <w:tcW w:w="708" w:type="dxa"/>
            <w:tcBorders>
              <w:left w:val="single" w:sz="8" w:space="0" w:color="auto"/>
              <w:bottom w:val="single" w:sz="4" w:space="0" w:color="auto"/>
              <w:right w:val="single" w:sz="8" w:space="0" w:color="auto"/>
            </w:tcBorders>
            <w:vAlign w:val="center"/>
          </w:tcPr>
          <w:p w14:paraId="10F5C0F2" w14:textId="77777777" w:rsidR="00C472CD" w:rsidRPr="00C472CD" w:rsidRDefault="00C472CD" w:rsidP="00C472CD">
            <w:pPr>
              <w:spacing w:after="0" w:line="240" w:lineRule="auto"/>
              <w:ind w:firstLine="0"/>
              <w:jc w:val="center"/>
              <w:rPr>
                <w:rFonts w:eastAsia="Times New Roman" w:cs="Arial"/>
                <w:b/>
                <w:bCs/>
                <w:lang w:eastAsia="cs-CZ"/>
              </w:rPr>
            </w:pPr>
          </w:p>
        </w:tc>
        <w:tc>
          <w:tcPr>
            <w:tcW w:w="8657" w:type="dxa"/>
            <w:tcBorders>
              <w:top w:val="single" w:sz="4" w:space="0" w:color="auto"/>
              <w:left w:val="single" w:sz="8" w:space="0" w:color="auto"/>
              <w:bottom w:val="single" w:sz="4" w:space="0" w:color="auto"/>
              <w:right w:val="single" w:sz="4" w:space="0" w:color="auto"/>
            </w:tcBorders>
          </w:tcPr>
          <w:p w14:paraId="5FCCE7F0" w14:textId="77777777" w:rsidR="00C472CD" w:rsidRDefault="00986BB2" w:rsidP="000572CA">
            <w:pPr>
              <w:tabs>
                <w:tab w:val="left" w:pos="-2694"/>
                <w:tab w:val="num" w:pos="426"/>
              </w:tabs>
              <w:spacing w:after="0" w:line="240" w:lineRule="auto"/>
              <w:ind w:firstLine="0"/>
              <w:rPr>
                <w:rFonts w:eastAsia="Times New Roman" w:cs="Arial"/>
                <w:sz w:val="20"/>
                <w:szCs w:val="20"/>
                <w:lang w:eastAsia="cs-CZ"/>
              </w:rPr>
            </w:pPr>
            <w:r>
              <w:rPr>
                <w:rFonts w:eastAsia="Times New Roman" w:cs="Arial"/>
                <w:sz w:val="20"/>
                <w:szCs w:val="20"/>
                <w:lang w:eastAsia="cs-CZ"/>
              </w:rPr>
              <w:t xml:space="preserve">Hodnocení </w:t>
            </w:r>
            <w:r w:rsidRPr="00C472CD">
              <w:rPr>
                <w:rFonts w:eastAsia="Times New Roman" w:cs="Arial"/>
                <w:sz w:val="20"/>
                <w:szCs w:val="20"/>
                <w:lang w:eastAsia="cs-CZ"/>
              </w:rPr>
              <w:t>se provádí na základě údajů, které žadatel uvedl do Žádosti o dotaci</w:t>
            </w:r>
            <w:r>
              <w:rPr>
                <w:rFonts w:eastAsia="Times New Roman" w:cs="Arial"/>
                <w:sz w:val="20"/>
                <w:szCs w:val="20"/>
                <w:lang w:eastAsia="cs-CZ"/>
              </w:rPr>
              <w:t>.</w:t>
            </w:r>
          </w:p>
          <w:p w14:paraId="3EF7C135" w14:textId="1A41E881" w:rsidR="00986BB2" w:rsidRPr="00C472CD" w:rsidRDefault="00986BB2" w:rsidP="00C472CD">
            <w:pPr>
              <w:spacing w:after="0" w:line="240" w:lineRule="auto"/>
              <w:ind w:firstLine="0"/>
              <w:rPr>
                <w:rFonts w:eastAsia="Times New Roman" w:cs="Arial"/>
                <w:sz w:val="20"/>
                <w:szCs w:val="20"/>
                <w:lang w:eastAsia="cs-CZ"/>
              </w:rPr>
            </w:pPr>
            <w:r>
              <w:rPr>
                <w:rFonts w:eastAsia="Times New Roman" w:cs="Arial"/>
                <w:sz w:val="20"/>
                <w:szCs w:val="20"/>
                <w:lang w:eastAsia="cs-CZ"/>
              </w:rPr>
              <w:t xml:space="preserve">Projekt </w:t>
            </w:r>
            <w:r w:rsidRPr="00986BB2">
              <w:rPr>
                <w:rFonts w:eastAsia="Times New Roman" w:cs="Arial"/>
                <w:sz w:val="20"/>
                <w:szCs w:val="20"/>
                <w:lang w:eastAsia="cs-CZ"/>
              </w:rPr>
              <w:t>musí zahrnovat výstavbu nové nebo rekonstrukci stávající výhybny (nebo lesního skladu) v počtu min. 1 výhybna / lesní sklad na každý započatý kilometr délky lesní cesty. Výhybna musí být provedena v souladu s ČSN 73 6108:2018</w:t>
            </w:r>
            <w:r>
              <w:rPr>
                <w:rFonts w:eastAsia="Times New Roman" w:cs="Arial"/>
                <w:sz w:val="20"/>
                <w:szCs w:val="20"/>
                <w:lang w:eastAsia="cs-CZ"/>
              </w:rPr>
              <w:t>. L</w:t>
            </w:r>
            <w:r w:rsidRPr="00986BB2">
              <w:rPr>
                <w:rFonts w:eastAsia="Times New Roman" w:cs="Arial"/>
                <w:sz w:val="20"/>
                <w:szCs w:val="20"/>
                <w:lang w:eastAsia="cs-CZ"/>
              </w:rPr>
              <w:t>esní sklad musí být proveden tak, aby jeho parametry odpovídaly výhybně (délka souběhu lesního skladu s lesní cestou min. 25 m; šířka lesního skladu včetně souběžné lesní cesty min. 6,5 m).</w:t>
            </w:r>
          </w:p>
        </w:tc>
        <w:tc>
          <w:tcPr>
            <w:tcW w:w="1229" w:type="dxa"/>
            <w:tcBorders>
              <w:left w:val="single" w:sz="4" w:space="0" w:color="auto"/>
              <w:bottom w:val="single" w:sz="4" w:space="0" w:color="auto"/>
              <w:right w:val="single" w:sz="8" w:space="0" w:color="auto"/>
            </w:tcBorders>
            <w:vAlign w:val="center"/>
          </w:tcPr>
          <w:p w14:paraId="41BBD80F" w14:textId="77777777" w:rsidR="00C472CD" w:rsidRPr="00C472CD" w:rsidRDefault="00C472CD" w:rsidP="00C472CD">
            <w:pPr>
              <w:spacing w:after="0" w:line="240" w:lineRule="auto"/>
              <w:ind w:firstLine="0"/>
              <w:jc w:val="center"/>
              <w:rPr>
                <w:rFonts w:eastAsia="Times New Roman" w:cs="Arial"/>
                <w:lang w:eastAsia="cs-CZ"/>
              </w:rPr>
            </w:pPr>
          </w:p>
        </w:tc>
      </w:tr>
      <w:tr w:rsidR="00C472CD" w:rsidRPr="00C472CD" w14:paraId="09978540" w14:textId="77777777" w:rsidTr="00EC79BE">
        <w:trPr>
          <w:trHeight w:val="110"/>
        </w:trPr>
        <w:tc>
          <w:tcPr>
            <w:tcW w:w="708" w:type="dxa"/>
            <w:tcBorders>
              <w:left w:val="single" w:sz="8" w:space="0" w:color="auto"/>
              <w:bottom w:val="single" w:sz="4" w:space="0" w:color="auto"/>
              <w:right w:val="single" w:sz="8" w:space="0" w:color="auto"/>
            </w:tcBorders>
            <w:vAlign w:val="center"/>
          </w:tcPr>
          <w:p w14:paraId="1FC2FB1E" w14:textId="77777777" w:rsidR="00C472CD" w:rsidRPr="00C472CD" w:rsidRDefault="00C472CD" w:rsidP="00C472CD">
            <w:pPr>
              <w:keepNext/>
              <w:spacing w:after="0" w:line="240" w:lineRule="auto"/>
              <w:ind w:firstLine="0"/>
              <w:jc w:val="center"/>
              <w:rPr>
                <w:rFonts w:eastAsia="Times New Roman" w:cs="Arial"/>
                <w:b/>
                <w:bCs/>
                <w:lang w:eastAsia="cs-CZ"/>
              </w:rPr>
            </w:pPr>
            <w:r w:rsidRPr="00C472CD">
              <w:rPr>
                <w:rFonts w:eastAsia="Times New Roman" w:cs="Arial"/>
                <w:b/>
                <w:bCs/>
                <w:lang w:eastAsia="cs-CZ"/>
              </w:rPr>
              <w:t>4.</w:t>
            </w:r>
          </w:p>
        </w:tc>
        <w:tc>
          <w:tcPr>
            <w:tcW w:w="8657" w:type="dxa"/>
            <w:tcBorders>
              <w:top w:val="single" w:sz="4" w:space="0" w:color="auto"/>
              <w:left w:val="single" w:sz="8" w:space="0" w:color="auto"/>
              <w:bottom w:val="single" w:sz="4" w:space="0" w:color="auto"/>
              <w:right w:val="single" w:sz="4" w:space="0" w:color="auto"/>
            </w:tcBorders>
          </w:tcPr>
          <w:p w14:paraId="162878AE" w14:textId="77777777" w:rsidR="00C472CD" w:rsidRPr="00C472CD" w:rsidRDefault="00C472CD" w:rsidP="00C472CD">
            <w:pPr>
              <w:keepNext/>
              <w:spacing w:after="0" w:line="240" w:lineRule="auto"/>
              <w:ind w:firstLine="0"/>
              <w:rPr>
                <w:rFonts w:eastAsia="Times New Roman" w:cs="Arial"/>
                <w:b/>
                <w:lang w:eastAsia="cs-CZ"/>
              </w:rPr>
            </w:pPr>
            <w:r w:rsidRPr="00C472CD">
              <w:rPr>
                <w:rFonts w:eastAsia="Times New Roman" w:cs="Arial"/>
                <w:b/>
                <w:lang w:eastAsia="cs-CZ"/>
              </w:rPr>
              <w:t>Finanční náročnost projektu</w:t>
            </w:r>
          </w:p>
        </w:tc>
        <w:tc>
          <w:tcPr>
            <w:tcW w:w="1229" w:type="dxa"/>
            <w:tcBorders>
              <w:left w:val="single" w:sz="4" w:space="0" w:color="auto"/>
              <w:bottom w:val="single" w:sz="4" w:space="0" w:color="auto"/>
              <w:right w:val="single" w:sz="8" w:space="0" w:color="auto"/>
            </w:tcBorders>
            <w:vAlign w:val="center"/>
          </w:tcPr>
          <w:p w14:paraId="29AA6954" w14:textId="77777777" w:rsidR="00C472CD" w:rsidRPr="00C472CD" w:rsidRDefault="00C472CD" w:rsidP="00C472CD">
            <w:pPr>
              <w:keepNext/>
              <w:spacing w:after="0" w:line="240" w:lineRule="auto"/>
              <w:ind w:firstLine="0"/>
              <w:jc w:val="center"/>
              <w:rPr>
                <w:rFonts w:eastAsia="Times New Roman" w:cs="Arial"/>
                <w:lang w:eastAsia="cs-CZ"/>
              </w:rPr>
            </w:pPr>
          </w:p>
        </w:tc>
      </w:tr>
      <w:tr w:rsidR="00C472CD" w:rsidRPr="00C472CD" w14:paraId="41F7FAA8" w14:textId="77777777" w:rsidTr="00EC79BE">
        <w:trPr>
          <w:trHeight w:val="110"/>
        </w:trPr>
        <w:tc>
          <w:tcPr>
            <w:tcW w:w="708" w:type="dxa"/>
            <w:tcBorders>
              <w:left w:val="single" w:sz="8" w:space="0" w:color="auto"/>
              <w:bottom w:val="single" w:sz="4" w:space="0" w:color="auto"/>
              <w:right w:val="single" w:sz="8" w:space="0" w:color="auto"/>
            </w:tcBorders>
            <w:vAlign w:val="center"/>
          </w:tcPr>
          <w:p w14:paraId="14DF918A" w14:textId="77777777" w:rsidR="00C472CD" w:rsidRPr="00C472CD" w:rsidRDefault="00C472CD" w:rsidP="00C472CD">
            <w:pPr>
              <w:spacing w:after="0" w:line="240" w:lineRule="auto"/>
              <w:ind w:firstLine="0"/>
              <w:jc w:val="center"/>
              <w:rPr>
                <w:rFonts w:eastAsia="Times New Roman" w:cs="Arial"/>
                <w:b/>
                <w:bCs/>
                <w:lang w:eastAsia="cs-CZ"/>
              </w:rPr>
            </w:pPr>
            <w:r w:rsidRPr="00C472CD">
              <w:rPr>
                <w:rFonts w:eastAsia="Times New Roman" w:cs="Arial"/>
                <w:b/>
                <w:bCs/>
                <w:lang w:eastAsia="cs-CZ"/>
              </w:rPr>
              <w:t>4.1.</w:t>
            </w:r>
          </w:p>
        </w:tc>
        <w:tc>
          <w:tcPr>
            <w:tcW w:w="8657" w:type="dxa"/>
            <w:tcBorders>
              <w:top w:val="single" w:sz="4" w:space="0" w:color="auto"/>
              <w:left w:val="single" w:sz="8" w:space="0" w:color="auto"/>
              <w:bottom w:val="single" w:sz="4" w:space="0" w:color="auto"/>
              <w:right w:val="single" w:sz="4" w:space="0" w:color="auto"/>
            </w:tcBorders>
            <w:vAlign w:val="center"/>
          </w:tcPr>
          <w:p w14:paraId="5FDF11D4" w14:textId="4E8B04FC" w:rsidR="00C472CD" w:rsidRPr="00C472CD" w:rsidRDefault="00C472CD" w:rsidP="00C472CD">
            <w:pPr>
              <w:spacing w:after="0" w:line="240" w:lineRule="auto"/>
              <w:ind w:firstLine="0"/>
              <w:rPr>
                <w:rFonts w:eastAsia="Times New Roman" w:cs="Arial"/>
                <w:b/>
                <w:lang w:eastAsia="cs-CZ"/>
              </w:rPr>
            </w:pPr>
            <w:r w:rsidRPr="00C472CD">
              <w:rPr>
                <w:rFonts w:eastAsia="Times New Roman" w:cs="Arial"/>
                <w:lang w:eastAsia="cs-CZ"/>
              </w:rPr>
              <w:t xml:space="preserve">Výše výdajů, ze kterých je stanovena dotace, je větší než </w:t>
            </w:r>
            <w:r w:rsidR="00986BB2">
              <w:rPr>
                <w:rFonts w:eastAsia="Times New Roman" w:cs="Arial"/>
                <w:lang w:eastAsia="cs-CZ"/>
              </w:rPr>
              <w:t>4,5</w:t>
            </w:r>
            <w:r w:rsidRPr="00C472CD">
              <w:rPr>
                <w:rFonts w:eastAsia="Times New Roman" w:cs="Arial"/>
                <w:lang w:eastAsia="cs-CZ"/>
              </w:rPr>
              <w:t xml:space="preserve"> mil. Kč, maximálně však do </w:t>
            </w:r>
            <w:r w:rsidR="00986BB2">
              <w:rPr>
                <w:rFonts w:eastAsia="Times New Roman" w:cs="Arial"/>
                <w:lang w:eastAsia="cs-CZ"/>
              </w:rPr>
              <w:t>6</w:t>
            </w:r>
            <w:r w:rsidRPr="00C472CD">
              <w:rPr>
                <w:rFonts w:eastAsia="Times New Roman" w:cs="Arial"/>
                <w:lang w:eastAsia="cs-CZ"/>
              </w:rPr>
              <w:t xml:space="preserve"> mil. Kč včetně.</w:t>
            </w:r>
          </w:p>
        </w:tc>
        <w:tc>
          <w:tcPr>
            <w:tcW w:w="1229" w:type="dxa"/>
            <w:tcBorders>
              <w:left w:val="single" w:sz="4" w:space="0" w:color="auto"/>
              <w:bottom w:val="single" w:sz="4" w:space="0" w:color="auto"/>
              <w:right w:val="single" w:sz="8" w:space="0" w:color="auto"/>
            </w:tcBorders>
          </w:tcPr>
          <w:p w14:paraId="0BBBE2C9" w14:textId="4D770E3B" w:rsidR="00C472CD" w:rsidRPr="00C472CD" w:rsidRDefault="00986BB2" w:rsidP="00C472CD">
            <w:pPr>
              <w:spacing w:after="0" w:line="240" w:lineRule="auto"/>
              <w:ind w:firstLine="0"/>
              <w:jc w:val="center"/>
              <w:rPr>
                <w:rFonts w:eastAsia="Times New Roman" w:cs="Arial"/>
                <w:lang w:eastAsia="cs-CZ"/>
              </w:rPr>
            </w:pPr>
            <w:r>
              <w:rPr>
                <w:rFonts w:eastAsia="Times New Roman" w:cs="Arial"/>
                <w:lang w:eastAsia="cs-CZ"/>
              </w:rPr>
              <w:t>2</w:t>
            </w:r>
          </w:p>
        </w:tc>
      </w:tr>
      <w:tr w:rsidR="00C472CD" w:rsidRPr="00C472CD" w14:paraId="58027C1F" w14:textId="77777777" w:rsidTr="00EC79BE">
        <w:trPr>
          <w:trHeight w:val="110"/>
        </w:trPr>
        <w:tc>
          <w:tcPr>
            <w:tcW w:w="708" w:type="dxa"/>
            <w:tcBorders>
              <w:left w:val="single" w:sz="8" w:space="0" w:color="auto"/>
              <w:bottom w:val="single" w:sz="4" w:space="0" w:color="auto"/>
              <w:right w:val="single" w:sz="8" w:space="0" w:color="auto"/>
            </w:tcBorders>
            <w:vAlign w:val="center"/>
          </w:tcPr>
          <w:p w14:paraId="6157DD5D" w14:textId="77777777" w:rsidR="00C472CD" w:rsidRPr="00C472CD" w:rsidRDefault="00C472CD" w:rsidP="00C472CD">
            <w:pPr>
              <w:spacing w:after="0" w:line="240" w:lineRule="auto"/>
              <w:ind w:firstLine="0"/>
              <w:jc w:val="center"/>
              <w:rPr>
                <w:rFonts w:eastAsia="Times New Roman" w:cs="Arial"/>
                <w:b/>
                <w:bCs/>
                <w:lang w:eastAsia="cs-CZ"/>
              </w:rPr>
            </w:pPr>
            <w:r w:rsidRPr="00C472CD">
              <w:rPr>
                <w:rFonts w:eastAsia="Times New Roman" w:cs="Arial"/>
                <w:b/>
                <w:bCs/>
                <w:lang w:eastAsia="cs-CZ"/>
              </w:rPr>
              <w:t>4.2.</w:t>
            </w:r>
          </w:p>
        </w:tc>
        <w:tc>
          <w:tcPr>
            <w:tcW w:w="8657" w:type="dxa"/>
            <w:tcBorders>
              <w:top w:val="single" w:sz="4" w:space="0" w:color="auto"/>
              <w:left w:val="single" w:sz="8" w:space="0" w:color="auto"/>
              <w:bottom w:val="single" w:sz="4" w:space="0" w:color="auto"/>
              <w:right w:val="single" w:sz="4" w:space="0" w:color="auto"/>
            </w:tcBorders>
            <w:vAlign w:val="center"/>
          </w:tcPr>
          <w:p w14:paraId="02D42CEE" w14:textId="0A620ABB" w:rsidR="00C472CD" w:rsidRPr="00C472CD" w:rsidRDefault="00C472CD" w:rsidP="00C472CD">
            <w:pPr>
              <w:spacing w:after="0" w:line="240" w:lineRule="auto"/>
              <w:ind w:firstLine="0"/>
              <w:rPr>
                <w:rFonts w:eastAsia="Times New Roman" w:cs="Arial"/>
                <w:b/>
                <w:lang w:eastAsia="cs-CZ"/>
              </w:rPr>
            </w:pPr>
            <w:r w:rsidRPr="00C472CD">
              <w:rPr>
                <w:rFonts w:eastAsia="Times New Roman" w:cs="Arial"/>
                <w:lang w:eastAsia="cs-CZ"/>
              </w:rPr>
              <w:t xml:space="preserve">Výše výdajů, ze kterých je stanovena dotace, je větší než </w:t>
            </w:r>
            <w:r w:rsidR="00986BB2">
              <w:rPr>
                <w:rFonts w:eastAsia="Times New Roman" w:cs="Arial"/>
                <w:lang w:eastAsia="cs-CZ"/>
              </w:rPr>
              <w:t>3,0</w:t>
            </w:r>
            <w:r w:rsidRPr="00C472CD">
              <w:rPr>
                <w:rFonts w:eastAsia="Times New Roman" w:cs="Arial"/>
                <w:lang w:eastAsia="cs-CZ"/>
              </w:rPr>
              <w:t xml:space="preserve"> mil. Kč, maximálně však do </w:t>
            </w:r>
            <w:r w:rsidR="00986BB2">
              <w:rPr>
                <w:rFonts w:eastAsia="Times New Roman" w:cs="Arial"/>
                <w:lang w:eastAsia="cs-CZ"/>
              </w:rPr>
              <w:t>4</w:t>
            </w:r>
            <w:r w:rsidRPr="00C472CD">
              <w:rPr>
                <w:rFonts w:eastAsia="Times New Roman" w:cs="Arial"/>
                <w:lang w:eastAsia="cs-CZ"/>
              </w:rPr>
              <w:t>,5 mil. Kč včetně.</w:t>
            </w:r>
          </w:p>
        </w:tc>
        <w:tc>
          <w:tcPr>
            <w:tcW w:w="1229" w:type="dxa"/>
            <w:tcBorders>
              <w:left w:val="single" w:sz="4" w:space="0" w:color="auto"/>
              <w:bottom w:val="single" w:sz="4" w:space="0" w:color="auto"/>
              <w:right w:val="single" w:sz="8" w:space="0" w:color="auto"/>
            </w:tcBorders>
          </w:tcPr>
          <w:p w14:paraId="20CC4868" w14:textId="5564AAB6" w:rsidR="00C472CD" w:rsidRPr="00C472CD" w:rsidRDefault="00986BB2" w:rsidP="00C472CD">
            <w:pPr>
              <w:spacing w:after="0" w:line="240" w:lineRule="auto"/>
              <w:ind w:firstLine="0"/>
              <w:jc w:val="center"/>
              <w:rPr>
                <w:rFonts w:eastAsia="Times New Roman" w:cs="Arial"/>
                <w:lang w:eastAsia="cs-CZ"/>
              </w:rPr>
            </w:pPr>
            <w:r>
              <w:rPr>
                <w:rFonts w:eastAsia="Times New Roman" w:cs="Arial"/>
                <w:lang w:eastAsia="cs-CZ"/>
              </w:rPr>
              <w:t>4</w:t>
            </w:r>
          </w:p>
        </w:tc>
      </w:tr>
      <w:tr w:rsidR="00C472CD" w:rsidRPr="00C472CD" w14:paraId="24C55E35" w14:textId="77777777" w:rsidTr="00EC79BE">
        <w:trPr>
          <w:trHeight w:val="110"/>
        </w:trPr>
        <w:tc>
          <w:tcPr>
            <w:tcW w:w="708" w:type="dxa"/>
            <w:tcBorders>
              <w:left w:val="single" w:sz="8" w:space="0" w:color="auto"/>
              <w:bottom w:val="single" w:sz="4" w:space="0" w:color="auto"/>
              <w:right w:val="single" w:sz="8" w:space="0" w:color="auto"/>
            </w:tcBorders>
            <w:vAlign w:val="center"/>
          </w:tcPr>
          <w:p w14:paraId="7260A6E5" w14:textId="77777777" w:rsidR="00C472CD" w:rsidRPr="00C472CD" w:rsidRDefault="00C472CD" w:rsidP="00C472CD">
            <w:pPr>
              <w:spacing w:after="0" w:line="240" w:lineRule="auto"/>
              <w:ind w:firstLine="0"/>
              <w:jc w:val="center"/>
              <w:rPr>
                <w:rFonts w:eastAsia="Times New Roman" w:cs="Arial"/>
                <w:b/>
                <w:bCs/>
                <w:lang w:eastAsia="cs-CZ"/>
              </w:rPr>
            </w:pPr>
            <w:r w:rsidRPr="00C472CD">
              <w:rPr>
                <w:rFonts w:eastAsia="Times New Roman" w:cs="Arial"/>
                <w:b/>
                <w:bCs/>
                <w:lang w:eastAsia="cs-CZ"/>
              </w:rPr>
              <w:t>4.3.</w:t>
            </w:r>
          </w:p>
        </w:tc>
        <w:tc>
          <w:tcPr>
            <w:tcW w:w="8657" w:type="dxa"/>
            <w:tcBorders>
              <w:top w:val="single" w:sz="4" w:space="0" w:color="auto"/>
              <w:left w:val="single" w:sz="8" w:space="0" w:color="auto"/>
              <w:bottom w:val="single" w:sz="4" w:space="0" w:color="auto"/>
              <w:right w:val="single" w:sz="4" w:space="0" w:color="auto"/>
            </w:tcBorders>
            <w:vAlign w:val="center"/>
          </w:tcPr>
          <w:p w14:paraId="00EFA624" w14:textId="55DA708F" w:rsidR="00C472CD" w:rsidRPr="00C472CD" w:rsidRDefault="00C472CD" w:rsidP="00C472CD">
            <w:pPr>
              <w:spacing w:after="0" w:line="240" w:lineRule="auto"/>
              <w:ind w:firstLine="0"/>
              <w:rPr>
                <w:rFonts w:eastAsia="Times New Roman" w:cs="Arial"/>
                <w:b/>
                <w:lang w:eastAsia="cs-CZ"/>
              </w:rPr>
            </w:pPr>
            <w:r w:rsidRPr="00C472CD">
              <w:rPr>
                <w:rFonts w:eastAsia="Times New Roman" w:cs="Arial"/>
                <w:lang w:eastAsia="cs-CZ"/>
              </w:rPr>
              <w:t xml:space="preserve">Výše výdajů, ze kterých je stanovena dotace, činí maximálně </w:t>
            </w:r>
            <w:r w:rsidR="00986BB2">
              <w:rPr>
                <w:rFonts w:eastAsia="Times New Roman" w:cs="Arial"/>
                <w:lang w:eastAsia="cs-CZ"/>
              </w:rPr>
              <w:t>3,0</w:t>
            </w:r>
            <w:r w:rsidRPr="00C472CD">
              <w:rPr>
                <w:rFonts w:eastAsia="Times New Roman" w:cs="Arial"/>
                <w:lang w:eastAsia="cs-CZ"/>
              </w:rPr>
              <w:t xml:space="preserve"> mil. Kč včetně.</w:t>
            </w:r>
          </w:p>
        </w:tc>
        <w:tc>
          <w:tcPr>
            <w:tcW w:w="1229" w:type="dxa"/>
            <w:tcBorders>
              <w:left w:val="single" w:sz="4" w:space="0" w:color="auto"/>
              <w:bottom w:val="single" w:sz="4" w:space="0" w:color="auto"/>
              <w:right w:val="single" w:sz="8" w:space="0" w:color="auto"/>
            </w:tcBorders>
          </w:tcPr>
          <w:p w14:paraId="04C56BCE" w14:textId="77777777" w:rsidR="00C472CD" w:rsidRPr="00C472CD" w:rsidRDefault="00C472CD" w:rsidP="00C472CD">
            <w:pPr>
              <w:spacing w:after="0" w:line="240" w:lineRule="auto"/>
              <w:ind w:firstLine="0"/>
              <w:jc w:val="center"/>
              <w:rPr>
                <w:rFonts w:eastAsia="Times New Roman" w:cs="Arial"/>
                <w:lang w:eastAsia="cs-CZ"/>
              </w:rPr>
            </w:pPr>
            <w:r w:rsidRPr="00C472CD">
              <w:rPr>
                <w:rFonts w:eastAsia="Times New Roman" w:cs="Arial"/>
                <w:lang w:eastAsia="cs-CZ"/>
              </w:rPr>
              <w:t>6</w:t>
            </w:r>
          </w:p>
        </w:tc>
      </w:tr>
      <w:tr w:rsidR="00C472CD" w:rsidRPr="00C472CD" w14:paraId="0B45283E" w14:textId="77777777" w:rsidTr="00EC79BE">
        <w:trPr>
          <w:trHeight w:val="110"/>
        </w:trPr>
        <w:tc>
          <w:tcPr>
            <w:tcW w:w="708" w:type="dxa"/>
            <w:tcBorders>
              <w:left w:val="single" w:sz="8" w:space="0" w:color="auto"/>
              <w:bottom w:val="single" w:sz="4" w:space="0" w:color="auto"/>
              <w:right w:val="single" w:sz="8" w:space="0" w:color="auto"/>
            </w:tcBorders>
            <w:vAlign w:val="center"/>
          </w:tcPr>
          <w:p w14:paraId="42BBE836" w14:textId="77777777" w:rsidR="00C472CD" w:rsidRPr="00C472CD" w:rsidRDefault="00C472CD" w:rsidP="00C472CD">
            <w:pPr>
              <w:spacing w:after="0" w:line="240" w:lineRule="auto"/>
              <w:ind w:firstLine="0"/>
              <w:jc w:val="center"/>
              <w:rPr>
                <w:rFonts w:eastAsia="Times New Roman" w:cs="Arial"/>
                <w:b/>
                <w:bCs/>
                <w:lang w:eastAsia="cs-CZ"/>
              </w:rPr>
            </w:pPr>
          </w:p>
        </w:tc>
        <w:tc>
          <w:tcPr>
            <w:tcW w:w="8657" w:type="dxa"/>
            <w:tcBorders>
              <w:top w:val="single" w:sz="4" w:space="0" w:color="auto"/>
              <w:left w:val="single" w:sz="8" w:space="0" w:color="auto"/>
              <w:bottom w:val="single" w:sz="4" w:space="0" w:color="auto"/>
              <w:right w:val="single" w:sz="4" w:space="0" w:color="auto"/>
            </w:tcBorders>
          </w:tcPr>
          <w:p w14:paraId="3DC828B6" w14:textId="77777777" w:rsidR="00C472CD" w:rsidRPr="00C472CD" w:rsidRDefault="00C472CD" w:rsidP="000572CA">
            <w:pPr>
              <w:suppressAutoHyphens/>
              <w:spacing w:after="0" w:line="240" w:lineRule="auto"/>
              <w:ind w:firstLine="0"/>
              <w:rPr>
                <w:rFonts w:eastAsia="Times New Roman" w:cs="Arial"/>
                <w:b/>
                <w:sz w:val="20"/>
                <w:szCs w:val="20"/>
                <w:lang w:eastAsia="cs-CZ"/>
              </w:rPr>
            </w:pPr>
            <w:r w:rsidRPr="00C472CD">
              <w:rPr>
                <w:rFonts w:eastAsia="Times New Roman" w:cs="Arial"/>
                <w:sz w:val="20"/>
                <w:szCs w:val="20"/>
                <w:lang w:eastAsia="cs-CZ"/>
              </w:rPr>
              <w:t>Hodnocení se provádí na základě údajů, které žadatel uvedl do Žádosti o dotaci. Kontrola se provádí ze Žádosti o dotaci a ze Žádosti o platbu (případně Hlášení o změnách).</w:t>
            </w:r>
          </w:p>
        </w:tc>
        <w:tc>
          <w:tcPr>
            <w:tcW w:w="1229" w:type="dxa"/>
            <w:tcBorders>
              <w:left w:val="single" w:sz="4" w:space="0" w:color="auto"/>
              <w:bottom w:val="single" w:sz="4" w:space="0" w:color="auto"/>
              <w:right w:val="single" w:sz="8" w:space="0" w:color="auto"/>
            </w:tcBorders>
            <w:vAlign w:val="center"/>
          </w:tcPr>
          <w:p w14:paraId="42CE9C0B" w14:textId="77777777" w:rsidR="00C472CD" w:rsidRPr="00C472CD" w:rsidRDefault="00C472CD" w:rsidP="00C472CD">
            <w:pPr>
              <w:spacing w:after="0" w:line="240" w:lineRule="auto"/>
              <w:ind w:firstLine="0"/>
              <w:jc w:val="center"/>
              <w:rPr>
                <w:rFonts w:eastAsia="Times New Roman" w:cs="Arial"/>
                <w:lang w:eastAsia="cs-CZ"/>
              </w:rPr>
            </w:pPr>
          </w:p>
        </w:tc>
      </w:tr>
      <w:tr w:rsidR="00C472CD" w:rsidRPr="00C472CD" w14:paraId="600AB0A4" w14:textId="77777777" w:rsidTr="00EC79BE">
        <w:trPr>
          <w:trHeight w:val="110"/>
        </w:trPr>
        <w:tc>
          <w:tcPr>
            <w:tcW w:w="708" w:type="dxa"/>
            <w:vMerge w:val="restart"/>
            <w:tcBorders>
              <w:top w:val="single" w:sz="4" w:space="0" w:color="auto"/>
              <w:left w:val="single" w:sz="8" w:space="0" w:color="auto"/>
              <w:right w:val="single" w:sz="8" w:space="0" w:color="auto"/>
            </w:tcBorders>
            <w:vAlign w:val="center"/>
          </w:tcPr>
          <w:p w14:paraId="7725889E" w14:textId="77777777" w:rsidR="00C472CD" w:rsidRPr="00C472CD" w:rsidRDefault="00C472CD" w:rsidP="00C472CD">
            <w:pPr>
              <w:spacing w:after="0" w:line="240" w:lineRule="auto"/>
              <w:ind w:firstLine="0"/>
              <w:jc w:val="center"/>
              <w:rPr>
                <w:rFonts w:eastAsia="Times New Roman" w:cs="Arial"/>
                <w:b/>
                <w:bCs/>
                <w:lang w:eastAsia="cs-CZ"/>
              </w:rPr>
            </w:pPr>
            <w:r w:rsidRPr="00C472CD">
              <w:rPr>
                <w:rFonts w:eastAsia="Times New Roman" w:cs="Arial"/>
                <w:b/>
                <w:bCs/>
                <w:lang w:eastAsia="cs-CZ"/>
              </w:rPr>
              <w:t>5.</w:t>
            </w:r>
          </w:p>
        </w:tc>
        <w:tc>
          <w:tcPr>
            <w:tcW w:w="8657" w:type="dxa"/>
            <w:tcBorders>
              <w:top w:val="single" w:sz="4" w:space="0" w:color="auto"/>
              <w:left w:val="single" w:sz="8" w:space="0" w:color="auto"/>
              <w:bottom w:val="single" w:sz="4" w:space="0" w:color="auto"/>
              <w:right w:val="single" w:sz="4" w:space="0" w:color="auto"/>
            </w:tcBorders>
          </w:tcPr>
          <w:p w14:paraId="75F71B24" w14:textId="77777777" w:rsidR="00C472CD" w:rsidRPr="00C472CD" w:rsidRDefault="00C472CD" w:rsidP="00C472CD">
            <w:pPr>
              <w:spacing w:after="0" w:line="240" w:lineRule="auto"/>
              <w:ind w:firstLine="0"/>
              <w:rPr>
                <w:rFonts w:eastAsia="Times New Roman" w:cs="Arial"/>
                <w:b/>
                <w:lang w:eastAsia="cs-CZ"/>
              </w:rPr>
            </w:pPr>
            <w:r w:rsidRPr="00C472CD">
              <w:rPr>
                <w:rFonts w:eastAsia="Times New Roman" w:cs="Arial"/>
                <w:b/>
                <w:lang w:eastAsia="cs-CZ"/>
              </w:rPr>
              <w:t>Žadatel použije přírodní materiály (dřevo nebo kámen) při novostavbě, rekonstrukci či opravě každého objektu lesní cesty (propustku, mostu, opěrné či zárubní zdi) formou kamenné konstrukce či kamenného obložení objektu, dřevěné srubové konstrukce či dřevěného zábradlí.</w:t>
            </w:r>
          </w:p>
        </w:tc>
        <w:tc>
          <w:tcPr>
            <w:tcW w:w="1229" w:type="dxa"/>
            <w:tcBorders>
              <w:top w:val="single" w:sz="4" w:space="0" w:color="auto"/>
              <w:left w:val="single" w:sz="4" w:space="0" w:color="auto"/>
              <w:bottom w:val="single" w:sz="4" w:space="0" w:color="auto"/>
              <w:right w:val="single" w:sz="8" w:space="0" w:color="auto"/>
            </w:tcBorders>
            <w:vAlign w:val="center"/>
          </w:tcPr>
          <w:p w14:paraId="23D93D20" w14:textId="77777777" w:rsidR="00C472CD" w:rsidRPr="00C472CD" w:rsidRDefault="00C472CD" w:rsidP="00C472CD">
            <w:pPr>
              <w:spacing w:after="0" w:line="240" w:lineRule="auto"/>
              <w:ind w:firstLine="0"/>
              <w:jc w:val="center"/>
              <w:rPr>
                <w:rFonts w:eastAsia="Times New Roman" w:cs="Arial"/>
                <w:lang w:eastAsia="cs-CZ"/>
              </w:rPr>
            </w:pPr>
            <w:r w:rsidRPr="00C472CD">
              <w:rPr>
                <w:rFonts w:eastAsia="Times New Roman" w:cs="Arial"/>
                <w:lang w:eastAsia="cs-CZ"/>
              </w:rPr>
              <w:t>2</w:t>
            </w:r>
          </w:p>
        </w:tc>
      </w:tr>
      <w:tr w:rsidR="00C472CD" w:rsidRPr="00C472CD" w14:paraId="4689E9FD" w14:textId="77777777" w:rsidTr="001105E3">
        <w:trPr>
          <w:trHeight w:val="110"/>
        </w:trPr>
        <w:tc>
          <w:tcPr>
            <w:tcW w:w="708" w:type="dxa"/>
            <w:vMerge/>
            <w:tcBorders>
              <w:left w:val="single" w:sz="8" w:space="0" w:color="auto"/>
              <w:bottom w:val="single" w:sz="4" w:space="0" w:color="auto"/>
              <w:right w:val="single" w:sz="8" w:space="0" w:color="auto"/>
            </w:tcBorders>
            <w:vAlign w:val="center"/>
          </w:tcPr>
          <w:p w14:paraId="15277060" w14:textId="77777777" w:rsidR="00C472CD" w:rsidRPr="00C472CD" w:rsidRDefault="00C472CD" w:rsidP="00C472CD">
            <w:pPr>
              <w:spacing w:after="0" w:line="240" w:lineRule="auto"/>
              <w:ind w:firstLine="0"/>
              <w:jc w:val="center"/>
              <w:rPr>
                <w:rFonts w:eastAsia="Times New Roman" w:cs="Arial"/>
                <w:lang w:eastAsia="cs-CZ"/>
              </w:rPr>
            </w:pPr>
          </w:p>
        </w:tc>
        <w:tc>
          <w:tcPr>
            <w:tcW w:w="8657" w:type="dxa"/>
            <w:tcBorders>
              <w:top w:val="single" w:sz="4" w:space="0" w:color="auto"/>
              <w:left w:val="single" w:sz="8" w:space="0" w:color="auto"/>
              <w:bottom w:val="single" w:sz="4" w:space="0" w:color="auto"/>
              <w:right w:val="single" w:sz="4" w:space="0" w:color="auto"/>
            </w:tcBorders>
            <w:vAlign w:val="center"/>
          </w:tcPr>
          <w:p w14:paraId="250EE2D3" w14:textId="77777777" w:rsidR="00C472CD" w:rsidRPr="00C472CD" w:rsidRDefault="00C472CD" w:rsidP="00C472CD">
            <w:pPr>
              <w:spacing w:after="0" w:line="240" w:lineRule="auto"/>
              <w:ind w:firstLine="0"/>
              <w:rPr>
                <w:rFonts w:eastAsia="Times New Roman" w:cs="Arial"/>
                <w:sz w:val="20"/>
                <w:szCs w:val="20"/>
                <w:lang w:eastAsia="cs-CZ"/>
              </w:rPr>
            </w:pPr>
            <w:r w:rsidRPr="00C472CD">
              <w:rPr>
                <w:rFonts w:eastAsia="Times New Roman" w:cs="Arial"/>
                <w:sz w:val="20"/>
                <w:szCs w:val="20"/>
                <w:lang w:eastAsia="cs-CZ"/>
              </w:rPr>
              <w:t>Body budou uděleny na základě předložené projektové dokumentace, ze které bude patrné provedení povrchu všech objektů, zřizovaných nebo upravovaných v rámci projektu, ze dřeva či kamene.</w:t>
            </w:r>
          </w:p>
        </w:tc>
        <w:tc>
          <w:tcPr>
            <w:tcW w:w="1229" w:type="dxa"/>
            <w:tcBorders>
              <w:top w:val="single" w:sz="4" w:space="0" w:color="auto"/>
              <w:left w:val="single" w:sz="4" w:space="0" w:color="auto"/>
              <w:bottom w:val="single" w:sz="4" w:space="0" w:color="auto"/>
              <w:right w:val="single" w:sz="8" w:space="0" w:color="auto"/>
            </w:tcBorders>
            <w:vAlign w:val="center"/>
          </w:tcPr>
          <w:p w14:paraId="47208B39" w14:textId="77777777" w:rsidR="00C472CD" w:rsidRPr="00C472CD" w:rsidRDefault="00C472CD" w:rsidP="00C472CD">
            <w:pPr>
              <w:spacing w:after="0" w:line="240" w:lineRule="auto"/>
              <w:ind w:firstLine="0"/>
              <w:rPr>
                <w:rFonts w:eastAsia="Times New Roman" w:cs="Arial"/>
                <w:lang w:eastAsia="cs-CZ"/>
              </w:rPr>
            </w:pPr>
          </w:p>
        </w:tc>
      </w:tr>
      <w:tr w:rsidR="00C472CD" w:rsidRPr="00C472CD" w14:paraId="42FCC1BA" w14:textId="77777777" w:rsidTr="001105E3">
        <w:trPr>
          <w:trHeight w:val="110"/>
        </w:trPr>
        <w:tc>
          <w:tcPr>
            <w:tcW w:w="708" w:type="dxa"/>
            <w:tcBorders>
              <w:top w:val="single" w:sz="4" w:space="0" w:color="auto"/>
              <w:left w:val="single" w:sz="4" w:space="0" w:color="auto"/>
              <w:bottom w:val="single" w:sz="4" w:space="0" w:color="auto"/>
              <w:right w:val="single" w:sz="4" w:space="0" w:color="auto"/>
            </w:tcBorders>
            <w:vAlign w:val="center"/>
          </w:tcPr>
          <w:p w14:paraId="33E27869" w14:textId="77777777" w:rsidR="00C472CD" w:rsidRPr="00C472CD" w:rsidRDefault="00C472CD" w:rsidP="00C472CD">
            <w:pPr>
              <w:spacing w:after="0" w:line="240" w:lineRule="auto"/>
              <w:ind w:firstLine="0"/>
              <w:jc w:val="center"/>
              <w:rPr>
                <w:rFonts w:eastAsia="Times New Roman" w:cs="Arial"/>
                <w:b/>
                <w:bCs/>
                <w:lang w:eastAsia="cs-CZ"/>
              </w:rPr>
            </w:pPr>
            <w:r w:rsidRPr="00C472CD">
              <w:rPr>
                <w:rFonts w:eastAsia="Times New Roman" w:cs="Arial"/>
                <w:b/>
                <w:bCs/>
                <w:lang w:eastAsia="cs-CZ"/>
              </w:rPr>
              <w:t>6.</w:t>
            </w:r>
          </w:p>
        </w:tc>
        <w:tc>
          <w:tcPr>
            <w:tcW w:w="8657" w:type="dxa"/>
            <w:tcBorders>
              <w:top w:val="single" w:sz="4" w:space="0" w:color="auto"/>
              <w:left w:val="single" w:sz="4" w:space="0" w:color="auto"/>
              <w:bottom w:val="single" w:sz="4" w:space="0" w:color="auto"/>
              <w:right w:val="single" w:sz="4" w:space="0" w:color="auto"/>
            </w:tcBorders>
          </w:tcPr>
          <w:p w14:paraId="12322465" w14:textId="41B5B3F3" w:rsidR="00C472CD" w:rsidRPr="00C472CD" w:rsidRDefault="00986BB2" w:rsidP="00C472CD">
            <w:pPr>
              <w:spacing w:after="0" w:line="240" w:lineRule="auto"/>
              <w:ind w:firstLine="0"/>
              <w:rPr>
                <w:rFonts w:eastAsia="Times New Roman" w:cs="Arial"/>
                <w:b/>
                <w:bCs/>
                <w:lang w:eastAsia="cs-CZ"/>
              </w:rPr>
            </w:pPr>
            <w:r>
              <w:rPr>
                <w:rFonts w:eastAsia="Times New Roman" w:cs="Arial"/>
                <w:b/>
                <w:lang w:eastAsia="zh-CN"/>
              </w:rPr>
              <w:t xml:space="preserve">Na </w:t>
            </w:r>
            <w:r>
              <w:rPr>
                <w:b/>
                <w:bCs/>
              </w:rPr>
              <w:t>vlastní výstavbu nebo rekonstrukci lesní cesty je vynaloženo:</w:t>
            </w:r>
          </w:p>
        </w:tc>
        <w:tc>
          <w:tcPr>
            <w:tcW w:w="1229" w:type="dxa"/>
            <w:tcBorders>
              <w:top w:val="single" w:sz="4" w:space="0" w:color="auto"/>
              <w:left w:val="single" w:sz="4" w:space="0" w:color="auto"/>
              <w:bottom w:val="single" w:sz="4" w:space="0" w:color="auto"/>
              <w:right w:val="single" w:sz="4" w:space="0" w:color="auto"/>
            </w:tcBorders>
            <w:vAlign w:val="center"/>
          </w:tcPr>
          <w:p w14:paraId="28AAFEC6" w14:textId="722960E2" w:rsidR="00C472CD" w:rsidRPr="00C472CD" w:rsidRDefault="00C472CD" w:rsidP="00C472CD">
            <w:pPr>
              <w:spacing w:after="0" w:line="240" w:lineRule="auto"/>
              <w:ind w:firstLine="0"/>
              <w:jc w:val="center"/>
              <w:rPr>
                <w:rFonts w:eastAsia="Times New Roman" w:cs="Arial"/>
                <w:lang w:eastAsia="cs-CZ"/>
              </w:rPr>
            </w:pPr>
          </w:p>
        </w:tc>
      </w:tr>
      <w:tr w:rsidR="00986BB2" w:rsidRPr="00C472CD" w14:paraId="61A511F4" w14:textId="77777777" w:rsidTr="001105E3">
        <w:trPr>
          <w:trHeight w:val="110"/>
        </w:trPr>
        <w:tc>
          <w:tcPr>
            <w:tcW w:w="708" w:type="dxa"/>
            <w:tcBorders>
              <w:top w:val="single" w:sz="4" w:space="0" w:color="auto"/>
              <w:left w:val="single" w:sz="4" w:space="0" w:color="auto"/>
              <w:bottom w:val="single" w:sz="4" w:space="0" w:color="auto"/>
              <w:right w:val="single" w:sz="4" w:space="0" w:color="auto"/>
            </w:tcBorders>
            <w:vAlign w:val="center"/>
          </w:tcPr>
          <w:p w14:paraId="75A0E791" w14:textId="7EB1B68F" w:rsidR="00986BB2" w:rsidRPr="00C472CD" w:rsidRDefault="00986BB2" w:rsidP="000572CA">
            <w:pPr>
              <w:spacing w:after="0" w:line="240" w:lineRule="auto"/>
              <w:ind w:firstLine="0"/>
              <w:jc w:val="center"/>
              <w:rPr>
                <w:rFonts w:eastAsia="Times New Roman" w:cs="Arial"/>
                <w:b/>
                <w:bCs/>
                <w:szCs w:val="24"/>
                <w:lang w:eastAsia="cs-CZ"/>
              </w:rPr>
            </w:pPr>
            <w:r>
              <w:rPr>
                <w:rFonts w:eastAsia="Times New Roman" w:cs="Arial"/>
                <w:b/>
                <w:bCs/>
                <w:szCs w:val="24"/>
                <w:lang w:eastAsia="cs-CZ"/>
              </w:rPr>
              <w:t>6.1.</w:t>
            </w:r>
          </w:p>
        </w:tc>
        <w:tc>
          <w:tcPr>
            <w:tcW w:w="8657" w:type="dxa"/>
            <w:tcBorders>
              <w:top w:val="single" w:sz="4" w:space="0" w:color="auto"/>
              <w:left w:val="single" w:sz="4" w:space="0" w:color="auto"/>
              <w:bottom w:val="single" w:sz="4" w:space="0" w:color="auto"/>
              <w:right w:val="single" w:sz="4" w:space="0" w:color="auto"/>
            </w:tcBorders>
          </w:tcPr>
          <w:p w14:paraId="38E08E34" w14:textId="0187AD1C" w:rsidR="00986BB2" w:rsidRPr="00C472CD" w:rsidRDefault="00986BB2" w:rsidP="00986BB2">
            <w:pPr>
              <w:spacing w:after="0" w:line="240" w:lineRule="auto"/>
              <w:ind w:firstLine="0"/>
              <w:rPr>
                <w:rFonts w:eastAsia="Times New Roman" w:cs="Arial"/>
                <w:bCs/>
                <w:sz w:val="20"/>
                <w:szCs w:val="20"/>
                <w:lang w:eastAsia="cs-CZ"/>
              </w:rPr>
            </w:pPr>
            <w:r>
              <w:t>alespoň 80 % výdajů, za kterých je stanovena dotace</w:t>
            </w:r>
          </w:p>
        </w:tc>
        <w:tc>
          <w:tcPr>
            <w:tcW w:w="1229" w:type="dxa"/>
            <w:tcBorders>
              <w:top w:val="single" w:sz="4" w:space="0" w:color="auto"/>
              <w:left w:val="single" w:sz="4" w:space="0" w:color="auto"/>
              <w:bottom w:val="single" w:sz="4" w:space="0" w:color="auto"/>
              <w:right w:val="single" w:sz="4" w:space="0" w:color="auto"/>
            </w:tcBorders>
            <w:vAlign w:val="center"/>
          </w:tcPr>
          <w:p w14:paraId="19BC235B" w14:textId="6CCCC754" w:rsidR="00986BB2" w:rsidRPr="00C472CD" w:rsidRDefault="001105E3" w:rsidP="00986BB2">
            <w:pPr>
              <w:spacing w:after="0" w:line="240" w:lineRule="auto"/>
              <w:ind w:firstLine="0"/>
              <w:jc w:val="center"/>
              <w:rPr>
                <w:rFonts w:eastAsia="Times New Roman" w:cs="Arial"/>
                <w:szCs w:val="24"/>
                <w:lang w:eastAsia="cs-CZ"/>
              </w:rPr>
            </w:pPr>
            <w:r>
              <w:rPr>
                <w:rFonts w:eastAsia="Times New Roman" w:cs="Arial"/>
                <w:szCs w:val="24"/>
                <w:lang w:eastAsia="cs-CZ"/>
              </w:rPr>
              <w:t>8</w:t>
            </w:r>
          </w:p>
        </w:tc>
      </w:tr>
      <w:tr w:rsidR="00986BB2" w:rsidRPr="00C472CD" w14:paraId="0D273908" w14:textId="77777777" w:rsidTr="001105E3">
        <w:trPr>
          <w:trHeight w:val="110"/>
        </w:trPr>
        <w:tc>
          <w:tcPr>
            <w:tcW w:w="708" w:type="dxa"/>
            <w:tcBorders>
              <w:top w:val="single" w:sz="4" w:space="0" w:color="auto"/>
              <w:left w:val="single" w:sz="4" w:space="0" w:color="auto"/>
              <w:bottom w:val="single" w:sz="4" w:space="0" w:color="auto"/>
              <w:right w:val="single" w:sz="4" w:space="0" w:color="auto"/>
            </w:tcBorders>
            <w:vAlign w:val="center"/>
          </w:tcPr>
          <w:p w14:paraId="338DF942" w14:textId="19263A19" w:rsidR="00986BB2" w:rsidRPr="00C472CD" w:rsidRDefault="00986BB2" w:rsidP="00986BB2">
            <w:pPr>
              <w:spacing w:after="0" w:line="240" w:lineRule="auto"/>
              <w:ind w:firstLine="0"/>
              <w:jc w:val="center"/>
              <w:rPr>
                <w:rFonts w:eastAsia="Times New Roman" w:cs="Arial"/>
                <w:b/>
                <w:bCs/>
                <w:lang w:eastAsia="cs-CZ"/>
              </w:rPr>
            </w:pPr>
            <w:r>
              <w:rPr>
                <w:rFonts w:eastAsia="Times New Roman" w:cs="Arial"/>
                <w:b/>
                <w:bCs/>
                <w:lang w:eastAsia="cs-CZ"/>
              </w:rPr>
              <w:lastRenderedPageBreak/>
              <w:t>6..2.</w:t>
            </w:r>
          </w:p>
        </w:tc>
        <w:tc>
          <w:tcPr>
            <w:tcW w:w="8657" w:type="dxa"/>
            <w:tcBorders>
              <w:top w:val="single" w:sz="4" w:space="0" w:color="auto"/>
              <w:left w:val="single" w:sz="4" w:space="0" w:color="auto"/>
              <w:bottom w:val="single" w:sz="4" w:space="0" w:color="auto"/>
              <w:right w:val="single" w:sz="4" w:space="0" w:color="auto"/>
            </w:tcBorders>
          </w:tcPr>
          <w:p w14:paraId="68A02720" w14:textId="39DC9F8F" w:rsidR="00986BB2" w:rsidRPr="00C472CD" w:rsidRDefault="00986BB2" w:rsidP="00986BB2">
            <w:pPr>
              <w:spacing w:after="0" w:line="240" w:lineRule="auto"/>
              <w:ind w:firstLine="0"/>
              <w:rPr>
                <w:rFonts w:eastAsia="Times New Roman" w:cs="Arial"/>
                <w:b/>
                <w:lang w:eastAsia="zh-CN"/>
              </w:rPr>
            </w:pPr>
            <w:r>
              <w:t>alespoň 60 % výdajů, za kterých je stanovena dotace</w:t>
            </w:r>
          </w:p>
        </w:tc>
        <w:tc>
          <w:tcPr>
            <w:tcW w:w="1229" w:type="dxa"/>
            <w:tcBorders>
              <w:top w:val="single" w:sz="4" w:space="0" w:color="auto"/>
              <w:left w:val="single" w:sz="4" w:space="0" w:color="auto"/>
              <w:bottom w:val="single" w:sz="4" w:space="0" w:color="auto"/>
              <w:right w:val="single" w:sz="4" w:space="0" w:color="auto"/>
            </w:tcBorders>
            <w:vAlign w:val="center"/>
          </w:tcPr>
          <w:p w14:paraId="6309E1C5" w14:textId="50D06B2E" w:rsidR="00986BB2" w:rsidRPr="00C472CD" w:rsidRDefault="001105E3" w:rsidP="00986BB2">
            <w:pPr>
              <w:spacing w:after="0" w:line="240" w:lineRule="auto"/>
              <w:ind w:firstLine="0"/>
              <w:jc w:val="center"/>
              <w:rPr>
                <w:rFonts w:eastAsia="Times New Roman" w:cs="Arial"/>
                <w:szCs w:val="24"/>
                <w:lang w:eastAsia="cs-CZ"/>
              </w:rPr>
            </w:pPr>
            <w:r>
              <w:rPr>
                <w:rFonts w:eastAsia="Times New Roman" w:cs="Arial"/>
                <w:szCs w:val="24"/>
                <w:lang w:eastAsia="cs-CZ"/>
              </w:rPr>
              <w:t>6</w:t>
            </w:r>
          </w:p>
        </w:tc>
      </w:tr>
      <w:tr w:rsidR="00986BB2" w:rsidRPr="00C472CD" w14:paraId="463C9478" w14:textId="77777777" w:rsidTr="001105E3">
        <w:trPr>
          <w:trHeight w:val="110"/>
        </w:trPr>
        <w:tc>
          <w:tcPr>
            <w:tcW w:w="708" w:type="dxa"/>
            <w:tcBorders>
              <w:top w:val="single" w:sz="4" w:space="0" w:color="auto"/>
              <w:left w:val="single" w:sz="8" w:space="0" w:color="auto"/>
              <w:right w:val="single" w:sz="8" w:space="0" w:color="auto"/>
            </w:tcBorders>
            <w:vAlign w:val="center"/>
          </w:tcPr>
          <w:p w14:paraId="0D566457" w14:textId="77777777" w:rsidR="00986BB2" w:rsidRPr="00C472CD" w:rsidRDefault="00986BB2" w:rsidP="00986BB2">
            <w:pPr>
              <w:spacing w:after="0" w:line="240" w:lineRule="auto"/>
              <w:ind w:firstLine="0"/>
              <w:jc w:val="center"/>
              <w:rPr>
                <w:rFonts w:eastAsia="Times New Roman" w:cs="Arial"/>
                <w:b/>
                <w:bCs/>
                <w:lang w:eastAsia="cs-CZ"/>
              </w:rPr>
            </w:pPr>
          </w:p>
        </w:tc>
        <w:tc>
          <w:tcPr>
            <w:tcW w:w="8657" w:type="dxa"/>
            <w:tcBorders>
              <w:top w:val="single" w:sz="4" w:space="0" w:color="auto"/>
              <w:left w:val="single" w:sz="8" w:space="0" w:color="auto"/>
              <w:bottom w:val="single" w:sz="4" w:space="0" w:color="auto"/>
              <w:right w:val="single" w:sz="4" w:space="0" w:color="auto"/>
            </w:tcBorders>
          </w:tcPr>
          <w:p w14:paraId="11C0DD1A" w14:textId="457AF862" w:rsidR="000572CA" w:rsidRDefault="00986BB2" w:rsidP="000572CA">
            <w:pPr>
              <w:suppressAutoHyphens/>
              <w:spacing w:after="120" w:line="240" w:lineRule="auto"/>
              <w:ind w:firstLine="0"/>
              <w:rPr>
                <w:rFonts w:eastAsia="Times New Roman" w:cs="Arial"/>
                <w:sz w:val="20"/>
                <w:szCs w:val="20"/>
                <w:lang w:eastAsia="cs-CZ"/>
              </w:rPr>
            </w:pPr>
            <w:r w:rsidRPr="000572CA">
              <w:rPr>
                <w:rFonts w:eastAsia="Times New Roman" w:cs="Arial"/>
                <w:sz w:val="20"/>
                <w:szCs w:val="20"/>
                <w:lang w:eastAsia="cs-CZ"/>
              </w:rPr>
              <w:t xml:space="preserve">Hodnocení se prování na základě údajů, </w:t>
            </w:r>
            <w:r w:rsidRPr="000572CA">
              <w:rPr>
                <w:rFonts w:eastAsia="Times New Roman" w:cs="Arial"/>
                <w:sz w:val="20"/>
                <w:szCs w:val="20"/>
                <w:lang w:eastAsia="zh-CN"/>
              </w:rPr>
              <w:t>které</w:t>
            </w:r>
            <w:r w:rsidRPr="000572CA">
              <w:rPr>
                <w:rFonts w:eastAsia="Times New Roman" w:cs="Arial"/>
                <w:sz w:val="20"/>
                <w:szCs w:val="20"/>
                <w:lang w:eastAsia="cs-CZ"/>
              </w:rPr>
              <w:t xml:space="preserve"> žadatel uvedl do Žádosti o dotaci</w:t>
            </w:r>
            <w:r w:rsidR="000572CA">
              <w:rPr>
                <w:rFonts w:eastAsia="Times New Roman" w:cs="Arial"/>
                <w:sz w:val="20"/>
                <w:szCs w:val="20"/>
                <w:lang w:eastAsia="cs-CZ"/>
              </w:rPr>
              <w:t>.</w:t>
            </w:r>
          </w:p>
          <w:p w14:paraId="7534C8E1" w14:textId="394CC03E" w:rsidR="00986BB2" w:rsidRDefault="000572CA" w:rsidP="000572CA">
            <w:pPr>
              <w:suppressAutoHyphens/>
              <w:spacing w:after="120" w:line="240" w:lineRule="auto"/>
              <w:ind w:firstLine="0"/>
              <w:rPr>
                <w:rFonts w:eastAsia="Times New Roman" w:cs="Arial"/>
                <w:sz w:val="20"/>
                <w:szCs w:val="20"/>
                <w:lang w:eastAsia="cs-CZ"/>
              </w:rPr>
            </w:pPr>
            <w:r>
              <w:rPr>
                <w:rFonts w:eastAsia="Times New Roman" w:cs="Arial"/>
                <w:sz w:val="20"/>
                <w:szCs w:val="20"/>
                <w:lang w:eastAsia="cs-CZ"/>
              </w:rPr>
              <w:t>Posuzuje se podíl výdajů, ze kterých je stanovena dotace, v rámci kódů 001–004 vůči celkové výši výdajů, ze kterých je stanovena dotace.</w:t>
            </w:r>
          </w:p>
          <w:p w14:paraId="46540C36" w14:textId="050B4678" w:rsidR="000572CA" w:rsidRPr="00C472CD" w:rsidRDefault="000572CA" w:rsidP="00986BB2">
            <w:pPr>
              <w:spacing w:after="0" w:line="240" w:lineRule="auto"/>
              <w:ind w:firstLine="0"/>
              <w:rPr>
                <w:rFonts w:eastAsia="Times New Roman" w:cs="Arial"/>
                <w:b/>
                <w:lang w:eastAsia="zh-CN"/>
              </w:rPr>
            </w:pPr>
            <w:r>
              <w:rPr>
                <w:rFonts w:cs="Arial"/>
                <w:sz w:val="20"/>
                <w:szCs w:val="20"/>
              </w:rPr>
              <w:t>Kontrola se provádí ze Žádosti o dotaci a ze Žádosti o platbu dle kódů způsobilých výdajů. Do výpočtu je možné zahrnout jen náklady na technologie zařazené v kódech výdajů X–Y.</w:t>
            </w:r>
          </w:p>
        </w:tc>
        <w:tc>
          <w:tcPr>
            <w:tcW w:w="1229" w:type="dxa"/>
            <w:tcBorders>
              <w:top w:val="single" w:sz="4" w:space="0" w:color="auto"/>
              <w:left w:val="single" w:sz="4" w:space="0" w:color="auto"/>
              <w:right w:val="single" w:sz="8" w:space="0" w:color="auto"/>
            </w:tcBorders>
            <w:vAlign w:val="center"/>
          </w:tcPr>
          <w:p w14:paraId="21654CB6" w14:textId="66AC972E" w:rsidR="00986BB2" w:rsidRPr="00C472CD" w:rsidRDefault="00986BB2" w:rsidP="00986BB2">
            <w:pPr>
              <w:spacing w:after="0" w:line="240" w:lineRule="auto"/>
              <w:ind w:firstLine="0"/>
              <w:jc w:val="center"/>
              <w:rPr>
                <w:rFonts w:eastAsia="Times New Roman" w:cs="Arial"/>
                <w:szCs w:val="24"/>
                <w:lang w:eastAsia="cs-CZ"/>
              </w:rPr>
            </w:pPr>
          </w:p>
        </w:tc>
      </w:tr>
      <w:tr w:rsidR="00986BB2" w:rsidRPr="00C472CD" w14:paraId="15381D52" w14:textId="77777777" w:rsidTr="00EC79BE">
        <w:trPr>
          <w:trHeight w:val="110"/>
        </w:trPr>
        <w:tc>
          <w:tcPr>
            <w:tcW w:w="708" w:type="dxa"/>
            <w:vMerge w:val="restart"/>
            <w:tcBorders>
              <w:top w:val="single" w:sz="4" w:space="0" w:color="auto"/>
              <w:left w:val="single" w:sz="8" w:space="0" w:color="auto"/>
              <w:right w:val="single" w:sz="8" w:space="0" w:color="auto"/>
            </w:tcBorders>
            <w:vAlign w:val="center"/>
          </w:tcPr>
          <w:p w14:paraId="14AEAAD0" w14:textId="77777777" w:rsidR="00986BB2" w:rsidRPr="00C472CD" w:rsidRDefault="00986BB2" w:rsidP="00986BB2">
            <w:pPr>
              <w:spacing w:after="0" w:line="240" w:lineRule="auto"/>
              <w:ind w:firstLine="0"/>
              <w:jc w:val="center"/>
              <w:rPr>
                <w:rFonts w:eastAsia="Times New Roman" w:cs="Arial"/>
                <w:b/>
                <w:bCs/>
                <w:szCs w:val="24"/>
                <w:lang w:eastAsia="cs-CZ"/>
              </w:rPr>
            </w:pPr>
            <w:r w:rsidRPr="00C472CD">
              <w:rPr>
                <w:rFonts w:eastAsia="Times New Roman" w:cs="Arial"/>
                <w:b/>
                <w:bCs/>
                <w:lang w:eastAsia="cs-CZ"/>
              </w:rPr>
              <w:t>7.</w:t>
            </w:r>
          </w:p>
        </w:tc>
        <w:tc>
          <w:tcPr>
            <w:tcW w:w="8657" w:type="dxa"/>
            <w:tcBorders>
              <w:top w:val="single" w:sz="4" w:space="0" w:color="auto"/>
              <w:left w:val="single" w:sz="8" w:space="0" w:color="auto"/>
              <w:bottom w:val="single" w:sz="4" w:space="0" w:color="auto"/>
              <w:right w:val="single" w:sz="4" w:space="0" w:color="auto"/>
            </w:tcBorders>
          </w:tcPr>
          <w:p w14:paraId="0BDBB9FE" w14:textId="16822F9C" w:rsidR="00986BB2" w:rsidRPr="00C472CD" w:rsidRDefault="000572CA" w:rsidP="00986BB2">
            <w:pPr>
              <w:spacing w:after="0" w:line="240" w:lineRule="auto"/>
              <w:ind w:firstLine="0"/>
              <w:rPr>
                <w:rFonts w:eastAsia="Times New Roman" w:cs="Arial"/>
                <w:sz w:val="20"/>
                <w:szCs w:val="20"/>
                <w:lang w:eastAsia="cs-CZ"/>
              </w:rPr>
            </w:pPr>
            <w:r>
              <w:rPr>
                <w:b/>
                <w:bCs/>
              </w:rPr>
              <w:t>Délka lesní cesty je přiměřená ploše lesního hospodářského celku / lesního majetku žadatele v rámci zařizovacího obvodu.</w:t>
            </w:r>
          </w:p>
        </w:tc>
        <w:tc>
          <w:tcPr>
            <w:tcW w:w="1229" w:type="dxa"/>
            <w:vMerge w:val="restart"/>
            <w:tcBorders>
              <w:top w:val="single" w:sz="4" w:space="0" w:color="auto"/>
              <w:left w:val="single" w:sz="4" w:space="0" w:color="auto"/>
              <w:right w:val="single" w:sz="8" w:space="0" w:color="auto"/>
            </w:tcBorders>
            <w:vAlign w:val="center"/>
          </w:tcPr>
          <w:p w14:paraId="077B033E" w14:textId="30FD3835" w:rsidR="00986BB2" w:rsidRPr="00C472CD" w:rsidRDefault="000572CA" w:rsidP="00986BB2">
            <w:pPr>
              <w:spacing w:after="0" w:line="240" w:lineRule="auto"/>
              <w:ind w:firstLine="0"/>
              <w:jc w:val="center"/>
              <w:rPr>
                <w:rFonts w:eastAsia="Times New Roman" w:cs="Arial"/>
                <w:szCs w:val="24"/>
                <w:lang w:eastAsia="cs-CZ"/>
              </w:rPr>
            </w:pPr>
            <w:r>
              <w:rPr>
                <w:rFonts w:eastAsia="Times New Roman" w:cs="Arial"/>
                <w:szCs w:val="24"/>
                <w:lang w:eastAsia="cs-CZ"/>
              </w:rPr>
              <w:t>10</w:t>
            </w:r>
          </w:p>
        </w:tc>
      </w:tr>
      <w:tr w:rsidR="00986BB2" w:rsidRPr="00C472CD" w14:paraId="034DD5A9" w14:textId="77777777" w:rsidTr="00EC79BE">
        <w:trPr>
          <w:trHeight w:val="110"/>
        </w:trPr>
        <w:tc>
          <w:tcPr>
            <w:tcW w:w="708" w:type="dxa"/>
            <w:vMerge/>
            <w:tcBorders>
              <w:left w:val="single" w:sz="8" w:space="0" w:color="auto"/>
              <w:bottom w:val="single" w:sz="4" w:space="0" w:color="auto"/>
              <w:right w:val="single" w:sz="8" w:space="0" w:color="auto"/>
            </w:tcBorders>
            <w:vAlign w:val="center"/>
          </w:tcPr>
          <w:p w14:paraId="24C98452" w14:textId="77777777" w:rsidR="00986BB2" w:rsidRPr="00C472CD" w:rsidRDefault="00986BB2" w:rsidP="00986BB2">
            <w:pPr>
              <w:spacing w:after="0" w:line="240" w:lineRule="auto"/>
              <w:ind w:firstLine="0"/>
              <w:rPr>
                <w:rFonts w:eastAsia="Times New Roman" w:cs="Arial"/>
                <w:b/>
                <w:bCs/>
                <w:szCs w:val="24"/>
                <w:lang w:eastAsia="cs-CZ"/>
              </w:rPr>
            </w:pPr>
          </w:p>
        </w:tc>
        <w:tc>
          <w:tcPr>
            <w:tcW w:w="8657" w:type="dxa"/>
            <w:tcBorders>
              <w:top w:val="single" w:sz="4" w:space="0" w:color="auto"/>
              <w:left w:val="single" w:sz="8" w:space="0" w:color="auto"/>
              <w:bottom w:val="single" w:sz="4" w:space="0" w:color="auto"/>
              <w:right w:val="single" w:sz="4" w:space="0" w:color="auto"/>
            </w:tcBorders>
          </w:tcPr>
          <w:p w14:paraId="4CFD9B6C" w14:textId="77777777" w:rsidR="000572CA" w:rsidRDefault="000572CA" w:rsidP="000572CA">
            <w:pPr>
              <w:suppressAutoHyphens/>
              <w:spacing w:after="120" w:line="240" w:lineRule="auto"/>
              <w:ind w:firstLine="0"/>
              <w:rPr>
                <w:rFonts w:eastAsia="Times New Roman" w:cs="Arial"/>
                <w:sz w:val="20"/>
                <w:szCs w:val="20"/>
                <w:lang w:eastAsia="cs-CZ"/>
              </w:rPr>
            </w:pPr>
            <w:r w:rsidRPr="000572CA">
              <w:rPr>
                <w:rFonts w:eastAsia="Times New Roman" w:cs="Arial"/>
                <w:sz w:val="20"/>
                <w:szCs w:val="20"/>
                <w:lang w:eastAsia="cs-CZ"/>
              </w:rPr>
              <w:t>Hodnocení se prování na základě údajů, které žadatel uvedl do Žádosti o dotaci</w:t>
            </w:r>
          </w:p>
          <w:p w14:paraId="3EDD984D" w14:textId="4ADF5E48" w:rsidR="000572CA" w:rsidRPr="000572CA" w:rsidRDefault="000572CA" w:rsidP="000572CA">
            <w:pPr>
              <w:suppressAutoHyphens/>
              <w:spacing w:after="120" w:line="240" w:lineRule="auto"/>
              <w:ind w:firstLine="0"/>
              <w:rPr>
                <w:rFonts w:eastAsia="Times New Roman" w:cs="Arial"/>
                <w:sz w:val="20"/>
                <w:szCs w:val="20"/>
                <w:lang w:eastAsia="cs-CZ"/>
              </w:rPr>
            </w:pPr>
            <w:r w:rsidRPr="000572CA">
              <w:rPr>
                <w:rFonts w:eastAsia="Times New Roman" w:cs="Arial"/>
                <w:sz w:val="20"/>
                <w:szCs w:val="20"/>
                <w:lang w:eastAsia="cs-CZ"/>
              </w:rPr>
              <w:t xml:space="preserve">Body budou uděleny, pokud plocha (v hektarech) pozemků určených k plnění funkcí lesa (PUPFL), na nichž žadatel </w:t>
            </w:r>
            <w:proofErr w:type="gramStart"/>
            <w:r w:rsidRPr="000572CA">
              <w:rPr>
                <w:rFonts w:eastAsia="Times New Roman" w:cs="Arial"/>
                <w:sz w:val="20"/>
                <w:szCs w:val="20"/>
                <w:lang w:eastAsia="cs-CZ"/>
              </w:rPr>
              <w:t>hospodaří</w:t>
            </w:r>
            <w:proofErr w:type="gramEnd"/>
            <w:r w:rsidRPr="000572CA">
              <w:rPr>
                <w:rFonts w:eastAsia="Times New Roman" w:cs="Arial"/>
                <w:sz w:val="20"/>
                <w:szCs w:val="20"/>
                <w:lang w:eastAsia="cs-CZ"/>
              </w:rPr>
              <w:t xml:space="preserve"> v daném lesním hospodářském celku (LHC) nebo zařizovacím obvodu (ZO), není menší než výsledek podílu délky lesní cesty, která je předmětem projektu (v metrech) a průměrné hustoty lesních cest v ČR (15 m/ha); v</w:t>
            </w:r>
            <w:r w:rsidR="00EC79BE">
              <w:rPr>
                <w:rFonts w:eastAsia="Times New Roman" w:cs="Arial"/>
                <w:sz w:val="20"/>
                <w:szCs w:val="20"/>
                <w:lang w:eastAsia="cs-CZ"/>
              </w:rPr>
              <w:t> </w:t>
            </w:r>
            <w:r w:rsidRPr="003F11B5">
              <w:rPr>
                <w:rFonts w:eastAsia="Times New Roman" w:cs="Arial"/>
                <w:sz w:val="20"/>
                <w:szCs w:val="20"/>
                <w:lang w:eastAsia="cs-CZ"/>
              </w:rPr>
              <w:t>případě</w:t>
            </w:r>
            <w:r w:rsidR="00EC79BE" w:rsidRPr="003F11B5">
              <w:rPr>
                <w:rFonts w:eastAsia="Times New Roman" w:cs="Arial"/>
                <w:sz w:val="20"/>
                <w:szCs w:val="20"/>
                <w:lang w:eastAsia="cs-CZ"/>
              </w:rPr>
              <w:t xml:space="preserve"> </w:t>
            </w:r>
            <w:r w:rsidRPr="003F11B5">
              <w:rPr>
                <w:rFonts w:eastAsia="Times New Roman" w:cs="Arial"/>
                <w:sz w:val="20"/>
                <w:szCs w:val="20"/>
                <w:lang w:eastAsia="cs-CZ"/>
              </w:rPr>
              <w:t>realizace</w:t>
            </w:r>
            <w:r w:rsidR="00EC79BE" w:rsidRPr="003F11B5">
              <w:rPr>
                <w:rFonts w:eastAsia="Times New Roman" w:cs="Arial"/>
                <w:sz w:val="20"/>
                <w:szCs w:val="20"/>
                <w:lang w:eastAsia="cs-CZ"/>
              </w:rPr>
              <w:t> </w:t>
            </w:r>
            <w:r w:rsidRPr="000572CA">
              <w:rPr>
                <w:rFonts w:eastAsia="Times New Roman" w:cs="Arial"/>
                <w:sz w:val="20"/>
                <w:szCs w:val="20"/>
                <w:lang w:eastAsia="cs-CZ"/>
              </w:rPr>
              <w:t>projektu v několika LHC/ZO se použije součet jejich plochy PUPFL</w:t>
            </w:r>
          </w:p>
          <w:p w14:paraId="6A163257" w14:textId="2A6F626E" w:rsidR="000572CA" w:rsidRDefault="00EC79BE" w:rsidP="000572CA">
            <w:pPr>
              <w:suppressAutoHyphens/>
              <w:spacing w:after="0" w:line="240" w:lineRule="auto"/>
              <w:ind w:firstLine="0"/>
              <w:rPr>
                <w:rFonts w:eastAsia="Times New Roman" w:cs="Arial"/>
                <w:sz w:val="20"/>
                <w:szCs w:val="20"/>
                <w:lang w:eastAsia="cs-CZ"/>
              </w:rPr>
            </w:pPr>
            <m:oMathPara>
              <m:oMath>
                <m:r>
                  <w:rPr>
                    <w:rFonts w:ascii="Cambria Math" w:hAnsi="Cambria Math"/>
                  </w:rPr>
                  <m:t>lesní majetek (ha v rámci LHC/ZO)≥</m:t>
                </m:r>
                <m:f>
                  <m:fPr>
                    <m:ctrlPr>
                      <w:rPr>
                        <w:rFonts w:ascii="Cambria Math" w:hAnsi="Cambria Math"/>
                        <w:i/>
                        <w:iCs/>
                      </w:rPr>
                    </m:ctrlPr>
                  </m:fPr>
                  <m:num>
                    <m:r>
                      <w:rPr>
                        <w:rFonts w:ascii="Cambria Math" w:hAnsi="Cambria Math"/>
                      </w:rPr>
                      <m:t>délka LC, která je předmětem projektu (m)</m:t>
                    </m:r>
                  </m:num>
                  <m:den>
                    <m:r>
                      <w:rPr>
                        <w:rFonts w:ascii="Cambria Math" w:hAnsi="Cambria Math"/>
                      </w:rPr>
                      <m:t xml:space="preserve">15 </m:t>
                    </m:r>
                    <m:f>
                      <m:fPr>
                        <m:type m:val="lin"/>
                        <m:ctrlPr>
                          <w:rPr>
                            <w:rFonts w:ascii="Cambria Math" w:hAnsi="Cambria Math"/>
                            <w:i/>
                            <w:iCs/>
                          </w:rPr>
                        </m:ctrlPr>
                      </m:fPr>
                      <m:num>
                        <m:r>
                          <w:rPr>
                            <w:rFonts w:ascii="Cambria Math" w:hAnsi="Cambria Math"/>
                          </w:rPr>
                          <m:t>m</m:t>
                        </m:r>
                      </m:num>
                      <m:den>
                        <m:r>
                          <w:rPr>
                            <w:rFonts w:ascii="Cambria Math" w:hAnsi="Cambria Math"/>
                          </w:rPr>
                          <m:t>ha</m:t>
                        </m:r>
                      </m:den>
                    </m:f>
                  </m:den>
                </m:f>
              </m:oMath>
            </m:oMathPara>
          </w:p>
          <w:p w14:paraId="481B54CF" w14:textId="77777777" w:rsidR="00EC79BE" w:rsidRDefault="00EC79BE" w:rsidP="000572CA">
            <w:pPr>
              <w:suppressAutoHyphens/>
              <w:spacing w:after="0" w:line="240" w:lineRule="auto"/>
              <w:ind w:firstLine="0"/>
              <w:rPr>
                <w:rFonts w:eastAsia="Times New Roman" w:cs="Arial"/>
                <w:sz w:val="20"/>
                <w:szCs w:val="20"/>
                <w:lang w:eastAsia="cs-CZ"/>
              </w:rPr>
            </w:pPr>
          </w:p>
          <w:p w14:paraId="61E5F3BC" w14:textId="3D82EC82" w:rsidR="00986BB2" w:rsidRPr="00C472CD" w:rsidRDefault="00EC79BE" w:rsidP="000572CA">
            <w:pPr>
              <w:suppressAutoHyphens/>
              <w:spacing w:after="0" w:line="240" w:lineRule="auto"/>
              <w:ind w:firstLine="0"/>
              <w:rPr>
                <w:rFonts w:eastAsia="Times New Roman" w:cs="Arial"/>
                <w:sz w:val="20"/>
                <w:szCs w:val="20"/>
                <w:lang w:eastAsia="cs-CZ"/>
              </w:rPr>
            </w:pPr>
            <w:r>
              <w:rPr>
                <w:rFonts w:eastAsia="Times New Roman" w:cs="Arial"/>
                <w:sz w:val="20"/>
                <w:szCs w:val="20"/>
                <w:lang w:eastAsia="cs-CZ"/>
              </w:rPr>
              <w:t xml:space="preserve">Při kontrole na místě žadatel bude ověřena </w:t>
            </w:r>
            <w:r w:rsidRPr="00EC79BE">
              <w:rPr>
                <w:rFonts w:eastAsia="Times New Roman" w:cs="Arial"/>
                <w:sz w:val="20"/>
                <w:szCs w:val="20"/>
                <w:lang w:eastAsia="cs-CZ"/>
              </w:rPr>
              <w:t>ploch</w:t>
            </w:r>
            <w:r>
              <w:rPr>
                <w:rFonts w:eastAsia="Times New Roman" w:cs="Arial"/>
                <w:sz w:val="20"/>
                <w:szCs w:val="20"/>
                <w:lang w:eastAsia="cs-CZ"/>
              </w:rPr>
              <w:t>a</w:t>
            </w:r>
            <w:r w:rsidRPr="00EC79BE">
              <w:rPr>
                <w:rFonts w:eastAsia="Times New Roman" w:cs="Arial"/>
                <w:sz w:val="20"/>
                <w:szCs w:val="20"/>
                <w:lang w:eastAsia="cs-CZ"/>
              </w:rPr>
              <w:t xml:space="preserve"> </w:t>
            </w:r>
            <w:r>
              <w:rPr>
                <w:rFonts w:eastAsia="Times New Roman" w:cs="Arial"/>
                <w:sz w:val="20"/>
                <w:szCs w:val="20"/>
                <w:lang w:eastAsia="cs-CZ"/>
              </w:rPr>
              <w:t>pozemků určených k plnění funkcí lesa</w:t>
            </w:r>
            <w:r w:rsidRPr="00EC79BE">
              <w:rPr>
                <w:rFonts w:eastAsia="Times New Roman" w:cs="Arial"/>
                <w:sz w:val="20"/>
                <w:szCs w:val="20"/>
                <w:lang w:eastAsia="cs-CZ"/>
              </w:rPr>
              <w:t>, u nichž je žadatel osobou s právy a povinnostmi vlastníka lesa (vlastníkem, spoluvlastníkem, nájmem, pachtem, výpůjčky apod.) do úrovně plochy odpovídající délce lesní cesty násobené hodnotou 15 m/ha</w:t>
            </w:r>
            <w:r>
              <w:rPr>
                <w:rFonts w:eastAsia="Times New Roman" w:cs="Arial"/>
                <w:sz w:val="20"/>
                <w:szCs w:val="20"/>
                <w:lang w:eastAsia="cs-CZ"/>
              </w:rPr>
              <w:t>.</w:t>
            </w:r>
          </w:p>
        </w:tc>
        <w:tc>
          <w:tcPr>
            <w:tcW w:w="1229" w:type="dxa"/>
            <w:vMerge/>
            <w:tcBorders>
              <w:left w:val="single" w:sz="4" w:space="0" w:color="auto"/>
              <w:bottom w:val="single" w:sz="4" w:space="0" w:color="auto"/>
              <w:right w:val="single" w:sz="8" w:space="0" w:color="auto"/>
            </w:tcBorders>
            <w:vAlign w:val="center"/>
          </w:tcPr>
          <w:p w14:paraId="4DC46B1B" w14:textId="77777777" w:rsidR="00986BB2" w:rsidRPr="00C472CD" w:rsidRDefault="00986BB2" w:rsidP="00986BB2">
            <w:pPr>
              <w:spacing w:after="0" w:line="240" w:lineRule="auto"/>
              <w:ind w:firstLine="0"/>
              <w:jc w:val="center"/>
              <w:rPr>
                <w:rFonts w:eastAsia="Times New Roman" w:cs="Arial"/>
                <w:szCs w:val="24"/>
                <w:lang w:eastAsia="cs-CZ"/>
              </w:rPr>
            </w:pPr>
          </w:p>
        </w:tc>
      </w:tr>
    </w:tbl>
    <w:p w14:paraId="714A58DD" w14:textId="77777777" w:rsidR="00C472CD" w:rsidRDefault="00C472CD" w:rsidP="00C472CD">
      <w:pPr>
        <w:ind w:firstLine="0"/>
      </w:pPr>
    </w:p>
    <w:sectPr w:rsidR="00C472CD" w:rsidSect="00EC79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F6374"/>
    <w:multiLevelType w:val="hybridMultilevel"/>
    <w:tmpl w:val="ADF88A08"/>
    <w:lvl w:ilvl="0" w:tplc="3486652C">
      <w:start w:val="1"/>
      <w:numFmt w:val="bullet"/>
      <w:lvlText w:val="-"/>
      <w:lvlJc w:val="left"/>
      <w:pPr>
        <w:ind w:left="720" w:hanging="360"/>
      </w:pPr>
      <w:rPr>
        <w:rFonts w:ascii="Arial" w:eastAsiaTheme="minorHAnsi"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6C2EE9"/>
    <w:multiLevelType w:val="hybridMultilevel"/>
    <w:tmpl w:val="652A609A"/>
    <w:lvl w:ilvl="0" w:tplc="04050011">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18717090">
    <w:abstractNumId w:val="0"/>
  </w:num>
  <w:num w:numId="2" w16cid:durableId="212159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CD"/>
    <w:rsid w:val="000572CA"/>
    <w:rsid w:val="001105E3"/>
    <w:rsid w:val="0031787B"/>
    <w:rsid w:val="003F11B5"/>
    <w:rsid w:val="00723288"/>
    <w:rsid w:val="00843A60"/>
    <w:rsid w:val="00867CA3"/>
    <w:rsid w:val="008B6CEF"/>
    <w:rsid w:val="008F50D3"/>
    <w:rsid w:val="00986BB2"/>
    <w:rsid w:val="00A766F0"/>
    <w:rsid w:val="00C472CD"/>
    <w:rsid w:val="00EC79BE"/>
    <w:rsid w:val="00F942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49DD"/>
  <w15:chartTrackingRefBased/>
  <w15:docId w15:val="{C06013D4-E3A9-4D6F-891F-F17DEF3C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72CD"/>
    <w:pPr>
      <w:spacing w:after="200" w:line="360" w:lineRule="auto"/>
      <w:ind w:firstLine="709"/>
      <w:jc w:val="both"/>
    </w:pPr>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72CA"/>
    <w:pPr>
      <w:spacing w:after="0" w:line="276" w:lineRule="auto"/>
      <w:ind w:left="720" w:firstLine="0"/>
      <w:contextualSpacing/>
      <w:jc w:val="left"/>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1011</Words>
  <Characters>5968</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MZe CR</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Konopásková Kristýna</dc:creator>
  <cp:keywords/>
  <dc:description/>
  <cp:lastModifiedBy>Matějčík Marek</cp:lastModifiedBy>
  <cp:revision>9</cp:revision>
  <dcterms:created xsi:type="dcterms:W3CDTF">2023-04-24T15:20:00Z</dcterms:created>
  <dcterms:modified xsi:type="dcterms:W3CDTF">2023-04-26T14:19:00Z</dcterms:modified>
</cp:coreProperties>
</file>