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52C13" w14:textId="77777777" w:rsidR="00B93D0F" w:rsidRDefault="00B93D0F">
      <w:pPr>
        <w:pStyle w:val="NoList1"/>
        <w:jc w:val="right"/>
        <w:rPr>
          <w:rFonts w:ascii="Arial" w:eastAsia="Arial" w:hAnsi="Arial" w:cs="Arial"/>
          <w:spacing w:val="14"/>
          <w:lang w:val="cs-CZ"/>
        </w:rPr>
      </w:pPr>
    </w:p>
    <w:p w14:paraId="5B052C14" w14:textId="77777777" w:rsidR="00B93D0F" w:rsidRDefault="00CF57E5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5B052C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29" type="#_x0000_t32" style="position:absolute;left:0;text-align:left;margin-left:28.35pt;margin-top:277.85pt;width:14.15pt;height:0;flip:y;z-index:25165721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joinstyle="miter"/>
            <v:textbox>
              <w:txbxContent>
                <w:p w14:paraId="5B052C92" w14:textId="77777777" w:rsidR="00B93D0F" w:rsidRDefault="00B93D0F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 w14:anchorId="5B052C87">
          <v:group id="_x0000_s3026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3028" type="#_x0000_t75" style="position:absolute;left:670;top:89;width:4092;height:2370;v-text-anchor:top">
              <v:stroke color2="black"/>
              <v:imagedata r:id="rId7" o:title="CMYK2"/>
            </v:shape>
            <v:rect id="_x0000_s302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5B052C88" wp14:editId="5B052C89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B052C93" w14:textId="77777777" w:rsidR="00B93D0F" w:rsidRDefault="00CF57E5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MZE-43162/2021-18132</w:t>
                            </w:r>
                          </w:p>
                          <w:p w14:paraId="5B052C94" w14:textId="77777777" w:rsidR="00B93D0F" w:rsidRDefault="00CF57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B052C96" wp14:editId="5B052C97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052C95" w14:textId="77777777" w:rsidR="00B93D0F" w:rsidRDefault="00CF57E5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mze000020848821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MZE-43162/2021-18132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mze000020848821</w:t>
                      </w:r>
                    </w:p>
                  </w:txbxContent>
                </v:textbox>
              </v:shape>
            </w:pict>
          </mc:Fallback>
        </mc:AlternateContent>
      </w:r>
    </w:p>
    <w:p w14:paraId="5B052C15" w14:textId="77777777" w:rsidR="00B93D0F" w:rsidRDefault="00CF57E5">
      <w:pPr>
        <w:rPr>
          <w:szCs w:val="22"/>
        </w:rPr>
      </w:pPr>
      <w:r>
        <w:rPr>
          <w:szCs w:val="22"/>
        </w:rPr>
        <w:t xml:space="preserve"> </w:t>
      </w:r>
    </w:p>
    <w:p w14:paraId="5B052C16" w14:textId="77777777" w:rsidR="00B93D0F" w:rsidRDefault="00CF57E5">
      <w:pPr>
        <w:jc w:val="center"/>
        <w:rPr>
          <w:rFonts w:eastAsiaTheme="minorHAnsi"/>
          <w:b/>
          <w:sz w:val="44"/>
          <w:szCs w:val="44"/>
        </w:rPr>
      </w:pPr>
      <w:r>
        <w:rPr>
          <w:szCs w:val="22"/>
        </w:rPr>
        <w:t xml:space="preserve"> </w:t>
      </w:r>
      <w:r>
        <w:rPr>
          <w:b/>
          <w:sz w:val="44"/>
          <w:szCs w:val="44"/>
        </w:rPr>
        <w:t>Metodický pokyn č. 4/2021</w:t>
      </w:r>
    </w:p>
    <w:p w14:paraId="5B052C17" w14:textId="77777777" w:rsidR="00B93D0F" w:rsidRDefault="00CF57E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kterým se upravují pravidla pro souběžnou ekologickou a konvenční produkci</w:t>
      </w:r>
    </w:p>
    <w:p w14:paraId="5B052C18" w14:textId="77777777" w:rsidR="00B93D0F" w:rsidRDefault="00B93D0F">
      <w:pPr>
        <w:rPr>
          <w:b/>
          <w:sz w:val="24"/>
        </w:rPr>
      </w:pPr>
    </w:p>
    <w:p w14:paraId="5B052C19" w14:textId="64517538" w:rsidR="00B93D0F" w:rsidRPr="00CF57E5" w:rsidRDefault="00CF57E5">
      <w:pPr>
        <w:spacing w:line="360" w:lineRule="auto"/>
        <w:rPr>
          <w:szCs w:val="22"/>
        </w:rPr>
      </w:pPr>
      <w:proofErr w:type="gramStart"/>
      <w:r w:rsidRPr="00CF57E5">
        <w:rPr>
          <w:szCs w:val="22"/>
        </w:rPr>
        <w:t>Č.j.</w:t>
      </w:r>
      <w:proofErr w:type="gramEnd"/>
      <w:r w:rsidRPr="00CF57E5">
        <w:rPr>
          <w:szCs w:val="22"/>
        </w:rPr>
        <w:t xml:space="preserve">:   </w:t>
      </w:r>
      <w:r>
        <w:rPr>
          <w:szCs w:val="22"/>
        </w:rPr>
        <w:t>43162/2021</w:t>
      </w:r>
      <w:bookmarkStart w:id="0" w:name="_GoBack"/>
      <w:bookmarkEnd w:id="0"/>
      <w:r w:rsidRPr="00CF57E5">
        <w:rPr>
          <w:szCs w:val="22"/>
        </w:rPr>
        <w:t>-MZE-18130</w:t>
      </w:r>
    </w:p>
    <w:p w14:paraId="5B052C1A" w14:textId="77777777" w:rsidR="00B93D0F" w:rsidRDefault="00CF57E5">
      <w:pPr>
        <w:rPr>
          <w:b/>
          <w:sz w:val="24"/>
        </w:rPr>
      </w:pPr>
      <w:r>
        <w:rPr>
          <w:b/>
          <w:sz w:val="24"/>
        </w:rPr>
        <w:t>Právní úprava:</w:t>
      </w:r>
    </w:p>
    <w:p w14:paraId="5B052C1B" w14:textId="77777777" w:rsidR="00B93D0F" w:rsidRDefault="00CF57E5">
      <w:pPr>
        <w:numPr>
          <w:ilvl w:val="0"/>
          <w:numId w:val="19"/>
        </w:numPr>
        <w:rPr>
          <w:szCs w:val="22"/>
        </w:rPr>
      </w:pPr>
      <w:r>
        <w:t xml:space="preserve">Nařízení Evropského parlamentu a Rady (EU) 2018/848 ze dne 30. května 2018 </w:t>
      </w:r>
      <w:r>
        <w:br/>
        <w:t>o ekologické produkci a označování ekologických produktů a o zrušení nařízení Rady (ES) č. 834/2007 (dále jen „nařízení (EU) 2018/848“)</w:t>
      </w:r>
    </w:p>
    <w:p w14:paraId="5B052C1C" w14:textId="77777777" w:rsidR="00B93D0F" w:rsidRDefault="00B93D0F">
      <w:pPr>
        <w:ind w:left="720"/>
      </w:pPr>
    </w:p>
    <w:p w14:paraId="5B052C1D" w14:textId="77777777" w:rsidR="00B93D0F" w:rsidRDefault="00CF57E5">
      <w:pPr>
        <w:numPr>
          <w:ilvl w:val="0"/>
          <w:numId w:val="19"/>
        </w:numPr>
      </w:pPr>
      <w:r>
        <w:t>Zákon č. 242/2000 Sb., o ekologickém zemědě</w:t>
      </w:r>
      <w:r>
        <w:t>lství a o změně zákona č. 368/1992 Sb., o správních poplatcích, ve znění pozdějších předpisů (dále jen „zákon o ekologickém zemědělství“).</w:t>
      </w:r>
    </w:p>
    <w:p w14:paraId="5B052C1E" w14:textId="77777777" w:rsidR="00B93D0F" w:rsidRDefault="00B93D0F">
      <w:pPr>
        <w:rPr>
          <w:sz w:val="28"/>
          <w:szCs w:val="28"/>
        </w:rPr>
      </w:pPr>
    </w:p>
    <w:p w14:paraId="5B052C1F" w14:textId="77777777" w:rsidR="00B93D0F" w:rsidRDefault="00CF57E5">
      <w:pPr>
        <w:rPr>
          <w:b/>
          <w:bCs/>
          <w:sz w:val="24"/>
        </w:rPr>
      </w:pPr>
      <w:r>
        <w:rPr>
          <w:b/>
          <w:bCs/>
          <w:sz w:val="24"/>
        </w:rPr>
        <w:t xml:space="preserve">Pravidla vyplývající z nařízení (EU) 2018/848 </w:t>
      </w:r>
    </w:p>
    <w:p w14:paraId="5B052C20" w14:textId="77777777" w:rsidR="00B93D0F" w:rsidRDefault="00B93D0F">
      <w:pPr>
        <w:ind w:left="720"/>
        <w:rPr>
          <w:b/>
          <w:sz w:val="24"/>
        </w:rPr>
      </w:pPr>
    </w:p>
    <w:p w14:paraId="5B052C21" w14:textId="77777777" w:rsidR="00B93D0F" w:rsidRDefault="00CF57E5">
      <w:pPr>
        <w:numPr>
          <w:ilvl w:val="0"/>
          <w:numId w:val="32"/>
        </w:numPr>
        <w:rPr>
          <w:b/>
          <w:sz w:val="24"/>
        </w:rPr>
      </w:pPr>
      <w:r>
        <w:rPr>
          <w:b/>
          <w:sz w:val="24"/>
        </w:rPr>
        <w:t>Pravidla rostlinné produkce</w:t>
      </w:r>
    </w:p>
    <w:p w14:paraId="5B052C22" w14:textId="77777777" w:rsidR="00B93D0F" w:rsidRDefault="00B93D0F">
      <w:pPr>
        <w:rPr>
          <w:szCs w:val="22"/>
        </w:rPr>
      </w:pPr>
    </w:p>
    <w:p w14:paraId="5B052C23" w14:textId="77777777" w:rsidR="00B93D0F" w:rsidRDefault="00CF57E5">
      <w:pPr>
        <w:tabs>
          <w:tab w:val="left" w:pos="709"/>
        </w:tabs>
        <w:rPr>
          <w:b/>
        </w:rPr>
      </w:pPr>
      <w:r>
        <w:rPr>
          <w:b/>
        </w:rPr>
        <w:t xml:space="preserve">1.1 </w:t>
      </w:r>
      <w:r>
        <w:rPr>
          <w:b/>
        </w:rPr>
        <w:tab/>
      </w:r>
      <w:r>
        <w:t>Článek 9 nařízení (EU) 2018/848 stanoví:</w:t>
      </w:r>
    </w:p>
    <w:p w14:paraId="5B052C24" w14:textId="77777777" w:rsidR="00B93D0F" w:rsidRDefault="00CF57E5">
      <w:pPr>
        <w:pStyle w:val="Odstavecseseznamem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Podnik je rozdělen na jasně a účinně oddělené ekologické produkční jednotky, produkční jednotky v přechodném období a konvenční produkční jednotky, pokud se v případě konvenčních produkčních jednotek: </w:t>
      </w:r>
    </w:p>
    <w:p w14:paraId="5B052C25" w14:textId="77777777" w:rsidR="00B93D0F" w:rsidRDefault="00CF57E5">
      <w:pPr>
        <w:pStyle w:val="Odstavecseseznamem"/>
        <w:numPr>
          <w:ilvl w:val="0"/>
          <w:numId w:val="3"/>
        </w:numPr>
        <w:jc w:val="both"/>
        <w:rPr>
          <w:rFonts w:cs="Arial"/>
          <w:i/>
        </w:rPr>
      </w:pPr>
      <w:r>
        <w:rPr>
          <w:rFonts w:cs="Arial"/>
        </w:rPr>
        <w:t>u rostlin jed</w:t>
      </w:r>
      <w:r>
        <w:rPr>
          <w:rFonts w:cs="Arial"/>
        </w:rPr>
        <w:t xml:space="preserve">ná o různé odrůdy, které lze snadno odlišit; </w:t>
      </w:r>
    </w:p>
    <w:p w14:paraId="5B052C26" w14:textId="77777777" w:rsidR="00B93D0F" w:rsidRDefault="00B93D0F">
      <w:pPr>
        <w:pStyle w:val="Odstavecseseznamem"/>
        <w:ind w:left="766"/>
        <w:jc w:val="both"/>
        <w:rPr>
          <w:rFonts w:cs="Arial"/>
          <w:i/>
        </w:rPr>
      </w:pPr>
    </w:p>
    <w:p w14:paraId="5B052C27" w14:textId="77777777" w:rsidR="00B93D0F" w:rsidRDefault="00CF57E5">
      <w:pPr>
        <w:pStyle w:val="Odstavecseseznamem"/>
        <w:ind w:left="766"/>
        <w:jc w:val="both"/>
        <w:rPr>
          <w:rFonts w:cs="Arial"/>
          <w:i/>
        </w:rPr>
      </w:pPr>
      <w:r>
        <w:rPr>
          <w:rFonts w:cs="Arial"/>
          <w:i/>
        </w:rPr>
        <w:t>Na ekologické i konvenční jednotce farmy lze pěstovat takové druhy/odrůdy plodin, jejichž produkce je od sebe snadno odlišitelná, např. pšenici špaldu a pšenici setou, červené a bílé zelí, jasně odlišitelné od</w:t>
      </w:r>
      <w:r>
        <w:rPr>
          <w:rFonts w:cs="Arial"/>
          <w:i/>
        </w:rPr>
        <w:t>růdy ovoce, hroznového vína, chmele, zeleniny atd.</w:t>
      </w:r>
    </w:p>
    <w:p w14:paraId="5B052C28" w14:textId="77777777" w:rsidR="00B93D0F" w:rsidRDefault="00B93D0F">
      <w:pPr>
        <w:pStyle w:val="Odstavecseseznamem"/>
        <w:ind w:left="720"/>
        <w:jc w:val="both"/>
        <w:rPr>
          <w:rFonts w:cs="Arial"/>
        </w:rPr>
      </w:pPr>
    </w:p>
    <w:p w14:paraId="5B052C29" w14:textId="77777777" w:rsidR="00B93D0F" w:rsidRDefault="00CF57E5">
      <w:pPr>
        <w:pStyle w:val="Odstavecseseznamem"/>
        <w:numPr>
          <w:ilvl w:val="0"/>
          <w:numId w:val="25"/>
        </w:numPr>
        <w:jc w:val="both"/>
        <w:rPr>
          <w:rFonts w:cs="Arial"/>
          <w:b/>
        </w:rPr>
      </w:pPr>
      <w:r>
        <w:rPr>
          <w:rFonts w:cs="Arial"/>
          <w:b/>
        </w:rPr>
        <w:t>V případě víceletých plodin, které vyžadují vegetační období v délce alespoň tří let, může jednat o různé odrůdy, jež nelze snadno odlišit, nebo o stejné odrůdy, je-li dotčená produkce součástí plánu přec</w:t>
      </w:r>
      <w:r>
        <w:rPr>
          <w:rFonts w:cs="Arial"/>
          <w:b/>
        </w:rPr>
        <w:t xml:space="preserve">hodu a začíná-li přechod poslední části plochy související s danou produkcí na ekologickou produkci v co nejbližší době a je dokončen nejpozději do pěti let. </w:t>
      </w:r>
    </w:p>
    <w:p w14:paraId="5B052C2A" w14:textId="77777777" w:rsidR="00B93D0F" w:rsidRDefault="00B93D0F">
      <w:pPr>
        <w:pStyle w:val="Odstavecseseznamem"/>
        <w:ind w:left="720"/>
        <w:jc w:val="both"/>
        <w:rPr>
          <w:rFonts w:cs="Arial"/>
          <w:b/>
        </w:rPr>
      </w:pPr>
    </w:p>
    <w:p w14:paraId="5B052C2B" w14:textId="77777777" w:rsidR="00B93D0F" w:rsidRDefault="00CF57E5">
      <w:pPr>
        <w:pStyle w:val="Odstavecseseznamem"/>
        <w:ind w:left="720"/>
        <w:jc w:val="both"/>
        <w:rPr>
          <w:rFonts w:cs="Arial"/>
          <w:i/>
        </w:rPr>
      </w:pPr>
      <w:r>
        <w:rPr>
          <w:rFonts w:cs="Arial"/>
          <w:i/>
        </w:rPr>
        <w:t xml:space="preserve">To znamená, že v případě víceletých plodin, které vyžadují vegetační období alespoň v délce tří </w:t>
      </w:r>
      <w:r>
        <w:rPr>
          <w:rFonts w:cs="Arial"/>
          <w:i/>
        </w:rPr>
        <w:t>let, může zemědělec pěstovat stejné odrůdy nebo odrůdy, které nejdou snadno odlišit pouze za předpokladu, že je dotyčná konvenční jednotka součástí přechodu a že přechod všech částí této jednotky bude dokončen nejpozději do pěti let.</w:t>
      </w:r>
    </w:p>
    <w:p w14:paraId="5B052C2C" w14:textId="77777777" w:rsidR="00B93D0F" w:rsidRDefault="00CF57E5">
      <w:pPr>
        <w:pStyle w:val="Odstavecseseznamem"/>
        <w:ind w:left="720"/>
        <w:jc w:val="both"/>
        <w:rPr>
          <w:rFonts w:cs="Arial"/>
          <w:i/>
        </w:rPr>
      </w:pPr>
      <w:r>
        <w:rPr>
          <w:rFonts w:cs="Arial"/>
          <w:i/>
        </w:rPr>
        <w:t>Pokud jsou různé pěsto</w:t>
      </w:r>
      <w:r>
        <w:rPr>
          <w:rFonts w:cs="Arial"/>
          <w:i/>
        </w:rPr>
        <w:t>vané odrůdy snadno rozeznatelné, není povinnost zavádět plán pro přechod do ekologie, ale podnik musí být rozdělen do jasně a efektivně oddělených produkčních jednotek pro ekologickou, přechodnou a konvenční produkci.</w:t>
      </w:r>
    </w:p>
    <w:p w14:paraId="5B052C2D" w14:textId="77777777" w:rsidR="00B93D0F" w:rsidRDefault="00B93D0F">
      <w:pPr>
        <w:pStyle w:val="Odstavecseseznamem"/>
        <w:ind w:left="720"/>
        <w:jc w:val="both"/>
        <w:rPr>
          <w:rFonts w:cs="Arial"/>
        </w:rPr>
      </w:pPr>
    </w:p>
    <w:p w14:paraId="5B052C2E" w14:textId="77777777" w:rsidR="00B93D0F" w:rsidRDefault="00CF57E5">
      <w:pPr>
        <w:rPr>
          <w:b/>
        </w:rPr>
      </w:pPr>
      <w:r>
        <w:rPr>
          <w:b/>
        </w:rPr>
        <w:t xml:space="preserve">Podmínky souběhu: </w:t>
      </w:r>
    </w:p>
    <w:p w14:paraId="5B052C2F" w14:textId="77777777" w:rsidR="00B93D0F" w:rsidRDefault="00CF57E5">
      <w:r>
        <w:t>a) zemědělec oznám</w:t>
      </w:r>
      <w:r>
        <w:t xml:space="preserve">í začátek sklizně každého z dotčených produktů příslušné kontrolní organizaci nejméně 48 hodin předem; </w:t>
      </w:r>
    </w:p>
    <w:p w14:paraId="5B052C30" w14:textId="77777777" w:rsidR="00B93D0F" w:rsidRDefault="00CF57E5">
      <w:r>
        <w:lastRenderedPageBreak/>
        <w:t xml:space="preserve">b) po skončení sklizně zemědělec informuje příslušnou kontrolní organizaci o přesném množství sklizeném z dotčených jednotek a o opatřeních učiněných k </w:t>
      </w:r>
      <w:r>
        <w:t xml:space="preserve">oddělení produktů; </w:t>
      </w:r>
    </w:p>
    <w:p w14:paraId="5B052C31" w14:textId="77777777" w:rsidR="00B93D0F" w:rsidRDefault="00CF57E5">
      <w:r>
        <w:t xml:space="preserve">c) kontrolní organizace po zahájení plánu přechodu každoročně potvrzují plán přechodu a opatření k zajištění účinného a jasného oddělení. </w:t>
      </w:r>
    </w:p>
    <w:p w14:paraId="5B052C32" w14:textId="77777777" w:rsidR="00B93D0F" w:rsidRDefault="00CF57E5">
      <w:pPr>
        <w:pStyle w:val="Odstavecseseznamem"/>
        <w:numPr>
          <w:ilvl w:val="0"/>
          <w:numId w:val="31"/>
        </w:numPr>
        <w:jc w:val="both"/>
        <w:rPr>
          <w:rFonts w:cs="Arial"/>
        </w:rPr>
      </w:pPr>
      <w:r>
        <w:rPr>
          <w:rFonts w:cs="Arial"/>
        </w:rPr>
        <w:t>Požadavky týkající se různých druhů a odrůd se neuplatňují v případě výzkumných a vzdělávacích st</w:t>
      </w:r>
      <w:r>
        <w:rPr>
          <w:rFonts w:cs="Arial"/>
        </w:rPr>
        <w:t xml:space="preserve">ředisek, školek rostlin, množíren osiva a šlechtitelských činností. </w:t>
      </w:r>
    </w:p>
    <w:p w14:paraId="5B052C33" w14:textId="77777777" w:rsidR="00B93D0F" w:rsidRDefault="00B93D0F">
      <w:pPr>
        <w:pStyle w:val="Odstavecseseznamem"/>
        <w:ind w:left="720"/>
        <w:jc w:val="both"/>
        <w:rPr>
          <w:rFonts w:cs="Arial"/>
          <w:i/>
        </w:rPr>
      </w:pPr>
    </w:p>
    <w:p w14:paraId="5B052C34" w14:textId="77777777" w:rsidR="00B93D0F" w:rsidRDefault="00CF57E5">
      <w:pPr>
        <w:pStyle w:val="Odstavecseseznamem"/>
        <w:numPr>
          <w:ilvl w:val="0"/>
          <w:numId w:val="31"/>
        </w:numPr>
        <w:jc w:val="both"/>
        <w:rPr>
          <w:rFonts w:cs="Arial"/>
          <w:i/>
        </w:rPr>
      </w:pPr>
      <w:r>
        <w:rPr>
          <w:rFonts w:cs="Arial"/>
        </w:rPr>
        <w:t>Pokud nejsou všechny produkční jednotky podniku provozovány podle pravidel ekologické produkce, hospodářské subjekty (</w:t>
      </w:r>
      <w:r>
        <w:rPr>
          <w:rFonts w:cs="Arial"/>
          <w:i/>
        </w:rPr>
        <w:t>to znamená, že při souběžné produkci jsou stanoveny povinnosti konve</w:t>
      </w:r>
      <w:r>
        <w:rPr>
          <w:rFonts w:cs="Arial"/>
          <w:i/>
        </w:rPr>
        <w:t xml:space="preserve">nční jednotky): </w:t>
      </w:r>
    </w:p>
    <w:p w14:paraId="5B052C35" w14:textId="77777777" w:rsidR="00B93D0F" w:rsidRDefault="00B93D0F">
      <w:pPr>
        <w:pStyle w:val="Odstavecseseznamem"/>
        <w:ind w:left="720"/>
        <w:jc w:val="both"/>
        <w:rPr>
          <w:rFonts w:cs="Arial"/>
        </w:rPr>
      </w:pPr>
    </w:p>
    <w:p w14:paraId="5B052C36" w14:textId="77777777" w:rsidR="00B93D0F" w:rsidRDefault="00CF57E5">
      <w:r>
        <w:t xml:space="preserve">a) uchovávají produkty používané pro ekologické produkční jednotky a pro produkční jednotky v přechodném období </w:t>
      </w:r>
      <w:r>
        <w:rPr>
          <w:b/>
        </w:rPr>
        <w:t>odděleně</w:t>
      </w:r>
      <w:r>
        <w:t xml:space="preserve"> od produktů používaných pro konvenční produkční jednotky; </w:t>
      </w:r>
    </w:p>
    <w:p w14:paraId="5B052C37" w14:textId="77777777" w:rsidR="00B93D0F" w:rsidRDefault="00CF57E5">
      <w:r>
        <w:t>b) uchovávají produkty vyprodukované ekologickými produkčn</w:t>
      </w:r>
      <w:r>
        <w:t xml:space="preserve">ími jednotkami, produkčními jednotkami v přechodném období a konvenčními produkčními jednotkami odděleně; </w:t>
      </w:r>
    </w:p>
    <w:p w14:paraId="5B052C38" w14:textId="77777777" w:rsidR="00B93D0F" w:rsidRDefault="00CF57E5">
      <w:r>
        <w:t xml:space="preserve">c) vedou odpovídající záznamy dokládající účinné oddělení produkčních jednotek a produktů. </w:t>
      </w:r>
    </w:p>
    <w:p w14:paraId="5B052C39" w14:textId="77777777" w:rsidR="00B93D0F" w:rsidRDefault="00B93D0F"/>
    <w:p w14:paraId="5B052C3A" w14:textId="77777777" w:rsidR="00B93D0F" w:rsidRDefault="00CF57E5">
      <w:pPr>
        <w:pStyle w:val="Odstavecseseznamem"/>
        <w:numPr>
          <w:ilvl w:val="0"/>
          <w:numId w:val="32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Pravidla živočišné produkce</w:t>
      </w:r>
    </w:p>
    <w:p w14:paraId="5B052C3B" w14:textId="77777777" w:rsidR="00B93D0F" w:rsidRDefault="00B93D0F">
      <w:pPr>
        <w:rPr>
          <w:szCs w:val="22"/>
          <w:lang w:val="en-US"/>
        </w:rPr>
      </w:pPr>
    </w:p>
    <w:p w14:paraId="5B052C3C" w14:textId="77777777" w:rsidR="00B93D0F" w:rsidRDefault="00CF57E5">
      <w:pPr>
        <w:tabs>
          <w:tab w:val="left" w:pos="709"/>
        </w:tabs>
        <w:rPr>
          <w:b/>
        </w:rPr>
      </w:pPr>
      <w:r>
        <w:rPr>
          <w:b/>
        </w:rPr>
        <w:t>2.1.</w:t>
      </w:r>
      <w:r>
        <w:rPr>
          <w:b/>
        </w:rPr>
        <w:tab/>
      </w:r>
      <w:r>
        <w:rPr>
          <w:b/>
        </w:rPr>
        <w:t>Článek 9  nařízení (EU) 2018/848 stanoví:</w:t>
      </w:r>
    </w:p>
    <w:p w14:paraId="5B052C3D" w14:textId="77777777" w:rsidR="00B93D0F" w:rsidRDefault="00CF57E5">
      <w:pPr>
        <w:pStyle w:val="Odstavecseseznamem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Podnik je rozdělen na jasně a účinně oddělené ekologické produkční jednotky, produkční jednotky v přechodném období a konvenční produkční jednotky, pokud se v případě konvenčních produkčních jednotek: </w:t>
      </w:r>
    </w:p>
    <w:p w14:paraId="5B052C3E" w14:textId="77777777" w:rsidR="00B93D0F" w:rsidRDefault="00CF57E5">
      <w:pPr>
        <w:pStyle w:val="Odstavecseseznamem"/>
        <w:ind w:left="720"/>
        <w:jc w:val="both"/>
        <w:rPr>
          <w:rFonts w:cs="Arial"/>
          <w:i/>
        </w:rPr>
      </w:pPr>
      <w:r>
        <w:rPr>
          <w:rFonts w:cs="Arial"/>
        </w:rPr>
        <w:t xml:space="preserve"> - u hospodá</w:t>
      </w:r>
      <w:r>
        <w:rPr>
          <w:rFonts w:cs="Arial"/>
        </w:rPr>
        <w:t>řských zvířat jedná o různé druhy</w:t>
      </w:r>
      <w:r>
        <w:rPr>
          <w:rFonts w:cs="Arial"/>
          <w:lang w:val="en-US"/>
        </w:rPr>
        <w:t>; (</w:t>
      </w:r>
      <w:r>
        <w:rPr>
          <w:rFonts w:cs="Arial"/>
          <w:i/>
        </w:rPr>
        <w:t>Např. nelze chovat na ekologické a zároveň na konvenční jednotce skot, a to ani v případě chovu masného skotu na ekologické a mléčného skotu na konvenční jednotce jedné farmy).</w:t>
      </w:r>
    </w:p>
    <w:p w14:paraId="5B052C3F" w14:textId="77777777" w:rsidR="00B93D0F" w:rsidRDefault="00B93D0F">
      <w:pPr>
        <w:rPr>
          <w:i/>
        </w:rPr>
      </w:pPr>
    </w:p>
    <w:p w14:paraId="5B052C40" w14:textId="77777777" w:rsidR="00B93D0F" w:rsidRDefault="00CF57E5">
      <w:pPr>
        <w:tabs>
          <w:tab w:val="left" w:pos="709"/>
        </w:tabs>
        <w:rPr>
          <w:b/>
        </w:rPr>
      </w:pPr>
      <w:r>
        <w:rPr>
          <w:b/>
        </w:rPr>
        <w:t xml:space="preserve">2.2. </w:t>
      </w:r>
      <w:r>
        <w:rPr>
          <w:b/>
        </w:rPr>
        <w:tab/>
        <w:t>Příloha II, Část II, bod 1.4.2 naříz</w:t>
      </w:r>
      <w:r>
        <w:rPr>
          <w:b/>
        </w:rPr>
        <w:t>ení (EU) 2018/848 stanoví:</w:t>
      </w:r>
    </w:p>
    <w:p w14:paraId="5B052C41" w14:textId="77777777" w:rsidR="00B93D0F" w:rsidRDefault="00CF57E5">
      <w:pPr>
        <w:pStyle w:val="Odstavecseseznamem"/>
        <w:numPr>
          <w:ilvl w:val="0"/>
          <w:numId w:val="14"/>
        </w:numPr>
        <w:tabs>
          <w:tab w:val="left" w:pos="709"/>
        </w:tabs>
        <w:contextualSpacing/>
        <w:rPr>
          <w:rFonts w:cs="Arial"/>
        </w:rPr>
      </w:pPr>
      <w:r>
        <w:rPr>
          <w:rFonts w:cs="Arial"/>
        </w:rPr>
        <w:t xml:space="preserve">Pastva na ekologicky obhospodařované půdě </w:t>
      </w:r>
    </w:p>
    <w:p w14:paraId="5B052C42" w14:textId="77777777" w:rsidR="00B93D0F" w:rsidRDefault="00B93D0F">
      <w:pPr>
        <w:pStyle w:val="Odstavecseseznamem"/>
        <w:tabs>
          <w:tab w:val="left" w:pos="709"/>
        </w:tabs>
        <w:ind w:left="720"/>
        <w:contextualSpacing/>
        <w:rPr>
          <w:rFonts w:cs="Arial"/>
        </w:rPr>
      </w:pPr>
    </w:p>
    <w:p w14:paraId="5B052C43" w14:textId="77777777" w:rsidR="00B93D0F" w:rsidRDefault="00CF57E5">
      <w:pPr>
        <w:tabs>
          <w:tab w:val="left" w:pos="709"/>
        </w:tabs>
      </w:pPr>
      <w:r>
        <w:t xml:space="preserve">Ekologicky chovaná zvířata se pasou na ekologicky obhospodařované půdě. Konvenčně chovaná zvířata nicméně mohou každoročně po omezenou dobu využívat ekologické pastviny za podmínky, že </w:t>
      </w:r>
      <w:r>
        <w:t>chov těchto zvířat probíhá environmentálně šetrným způsobem na půdě, která je podporována podle článků 23, 25, 28, 30, 31 a 34 nařízení (EU) č. 1305/2013 (o podpoře pro rozvoj venkova z Evropského zemědělského fondu pro rozvoj venkova (EZFRV)) a že na těch</w:t>
      </w:r>
      <w:r>
        <w:t xml:space="preserve">to pastvinách nejsou současně s ekologicky chovanými zvířaty. </w:t>
      </w:r>
    </w:p>
    <w:p w14:paraId="5B052C44" w14:textId="77777777" w:rsidR="00B93D0F" w:rsidRDefault="00CF57E5">
      <w:pPr>
        <w:tabs>
          <w:tab w:val="left" w:pos="709"/>
        </w:tabs>
      </w:pPr>
      <w:r>
        <w:t>Environmentálně šetrným způsobem hospodaření (dle článků 23, 25, 28, 30, 31 a 34 nařízení (EU) č. 1305/2013) se rozumí následující programy:</w:t>
      </w:r>
    </w:p>
    <w:p w14:paraId="5B052C45" w14:textId="77777777" w:rsidR="00B93D0F" w:rsidRDefault="00CF57E5">
      <w:pPr>
        <w:pStyle w:val="Odstavecseseznamem"/>
        <w:numPr>
          <w:ilvl w:val="0"/>
          <w:numId w:val="9"/>
        </w:numPr>
        <w:tabs>
          <w:tab w:val="left" w:pos="709"/>
        </w:tabs>
        <w:contextualSpacing/>
        <w:jc w:val="both"/>
        <w:rPr>
          <w:rFonts w:cs="Arial"/>
        </w:rPr>
      </w:pPr>
      <w:r>
        <w:rPr>
          <w:rFonts w:cs="Arial"/>
        </w:rPr>
        <w:t>Zavádění zemědělsko-lesnických systémů</w:t>
      </w:r>
    </w:p>
    <w:p w14:paraId="5B052C46" w14:textId="77777777" w:rsidR="00B93D0F" w:rsidRDefault="00CF57E5">
      <w:pPr>
        <w:pStyle w:val="Odstavecseseznamem"/>
        <w:numPr>
          <w:ilvl w:val="0"/>
          <w:numId w:val="9"/>
        </w:numPr>
        <w:tabs>
          <w:tab w:val="left" w:pos="709"/>
        </w:tabs>
        <w:contextualSpacing/>
        <w:jc w:val="both"/>
        <w:rPr>
          <w:rFonts w:cs="Arial"/>
        </w:rPr>
      </w:pPr>
      <w:r>
        <w:rPr>
          <w:rFonts w:cs="Arial"/>
        </w:rPr>
        <w:t>Agroenvironme</w:t>
      </w:r>
      <w:r>
        <w:rPr>
          <w:rFonts w:cs="Arial"/>
        </w:rPr>
        <w:t>ntálně-klimatické opatření</w:t>
      </w:r>
    </w:p>
    <w:p w14:paraId="5B052C47" w14:textId="77777777" w:rsidR="00B93D0F" w:rsidRDefault="00CF57E5">
      <w:pPr>
        <w:pStyle w:val="Odstavecseseznamem"/>
        <w:numPr>
          <w:ilvl w:val="0"/>
          <w:numId w:val="9"/>
        </w:numPr>
        <w:tabs>
          <w:tab w:val="left" w:pos="709"/>
        </w:tabs>
        <w:contextualSpacing/>
        <w:jc w:val="both"/>
        <w:rPr>
          <w:rFonts w:cs="Arial"/>
        </w:rPr>
      </w:pPr>
      <w:r>
        <w:rPr>
          <w:rFonts w:cs="Arial"/>
        </w:rPr>
        <w:t>Platby v rámci sítě Natura 2000 a podle rámcové směrnice o vodě</w:t>
      </w:r>
    </w:p>
    <w:p w14:paraId="5B052C48" w14:textId="77777777" w:rsidR="00B93D0F" w:rsidRDefault="00CF57E5">
      <w:pPr>
        <w:pStyle w:val="Odstavecseseznamem"/>
        <w:numPr>
          <w:ilvl w:val="0"/>
          <w:numId w:val="9"/>
        </w:numPr>
        <w:tabs>
          <w:tab w:val="left" w:pos="709"/>
        </w:tabs>
        <w:contextualSpacing/>
        <w:jc w:val="both"/>
        <w:rPr>
          <w:rFonts w:cs="Arial"/>
        </w:rPr>
      </w:pPr>
      <w:r>
        <w:rPr>
          <w:rFonts w:cs="Arial"/>
        </w:rPr>
        <w:t>Platby pro oblasti s přírodními či jinými zvláštními omezeními</w:t>
      </w:r>
    </w:p>
    <w:p w14:paraId="5B052C49" w14:textId="77777777" w:rsidR="00B93D0F" w:rsidRDefault="00CF57E5">
      <w:pPr>
        <w:pStyle w:val="Odstavecseseznamem"/>
        <w:numPr>
          <w:ilvl w:val="0"/>
          <w:numId w:val="9"/>
        </w:numPr>
        <w:tabs>
          <w:tab w:val="left" w:pos="709"/>
        </w:tabs>
        <w:contextualSpacing/>
        <w:jc w:val="both"/>
        <w:rPr>
          <w:rFonts w:cs="Arial"/>
        </w:rPr>
      </w:pPr>
      <w:r>
        <w:rPr>
          <w:rFonts w:cs="Arial"/>
        </w:rPr>
        <w:t>Lesnicko-environmentální a klimatické služby a ochrana lesů</w:t>
      </w:r>
    </w:p>
    <w:p w14:paraId="5B052C4A" w14:textId="77777777" w:rsidR="00B93D0F" w:rsidRDefault="00B93D0F">
      <w:pPr>
        <w:tabs>
          <w:tab w:val="left" w:pos="709"/>
        </w:tabs>
        <w:rPr>
          <w:i/>
        </w:rPr>
      </w:pPr>
    </w:p>
    <w:p w14:paraId="5B052C4B" w14:textId="77777777" w:rsidR="00B93D0F" w:rsidRDefault="00CF57E5">
      <w:pPr>
        <w:tabs>
          <w:tab w:val="left" w:pos="709"/>
        </w:tabs>
        <w:rPr>
          <w:i/>
        </w:rPr>
      </w:pPr>
      <w:r>
        <w:rPr>
          <w:i/>
        </w:rPr>
        <w:t>Dle příslušných článků nařízení (EU) č. 1</w:t>
      </w:r>
      <w:r>
        <w:rPr>
          <w:i/>
        </w:rPr>
        <w:t xml:space="preserve">305/2013 o podpoře pro rozvoj venkova z Evropského zemědělského fondu pro rozvoj venkova (EZFRV) a zákona o ekologickém zemědělství </w:t>
      </w:r>
      <w:r>
        <w:rPr>
          <w:i/>
        </w:rPr>
        <w:br/>
        <w:t>(</w:t>
      </w:r>
      <w:r>
        <w:t>§ 14 odst. 1)</w:t>
      </w:r>
      <w:r>
        <w:rPr>
          <w:i/>
        </w:rPr>
        <w:t>, se mohou konvenční zvířata pást po dobu 90 dnů na ekologických pastvinách pouze za podmínky (a splní-li níž</w:t>
      </w:r>
      <w:r>
        <w:rPr>
          <w:i/>
        </w:rPr>
        <w:t>e uvedené podmínky), že farma je zařazena alespoň do jednoho z programů uvedených výše:</w:t>
      </w:r>
    </w:p>
    <w:p w14:paraId="5B052C4C" w14:textId="77777777" w:rsidR="00B93D0F" w:rsidRDefault="00B93D0F">
      <w:pPr>
        <w:pStyle w:val="Odstavecseseznamem"/>
        <w:tabs>
          <w:tab w:val="left" w:pos="709"/>
        </w:tabs>
        <w:ind w:left="720"/>
        <w:rPr>
          <w:rFonts w:cs="Arial"/>
        </w:rPr>
      </w:pPr>
    </w:p>
    <w:p w14:paraId="5B052C4D" w14:textId="77777777" w:rsidR="00B93D0F" w:rsidRDefault="00CF57E5">
      <w:pPr>
        <w:pStyle w:val="Odstavecseseznamem"/>
        <w:numPr>
          <w:ilvl w:val="0"/>
          <w:numId w:val="28"/>
        </w:numPr>
        <w:tabs>
          <w:tab w:val="left" w:pos="709"/>
        </w:tabs>
        <w:rPr>
          <w:rFonts w:cs="Arial"/>
        </w:rPr>
      </w:pPr>
      <w:r>
        <w:rPr>
          <w:rFonts w:cs="Arial"/>
        </w:rPr>
        <w:t xml:space="preserve">Ekologicky chovaná zvířata se mohou pást na pozemcích společně s konvenčními zvířaty, pokud: </w:t>
      </w:r>
    </w:p>
    <w:p w14:paraId="5B052C4E" w14:textId="77777777" w:rsidR="00B93D0F" w:rsidRDefault="00B93D0F">
      <w:pPr>
        <w:pStyle w:val="Odstavecseseznamem"/>
        <w:tabs>
          <w:tab w:val="left" w:pos="709"/>
        </w:tabs>
        <w:ind w:left="720"/>
        <w:rPr>
          <w:rFonts w:cs="Arial"/>
        </w:rPr>
      </w:pPr>
    </w:p>
    <w:p w14:paraId="5B052C4F" w14:textId="77777777" w:rsidR="00B93D0F" w:rsidRDefault="00CF57E5">
      <w:pPr>
        <w:tabs>
          <w:tab w:val="left" w:pos="709"/>
        </w:tabs>
      </w:pPr>
      <w:r>
        <w:lastRenderedPageBreak/>
        <w:t xml:space="preserve">a) společné pozemky nebyly nejméně tři roky ošetřovány produkty či látkami, které nejsou povolené pro použití v ekologické produkci; </w:t>
      </w:r>
    </w:p>
    <w:p w14:paraId="5B052C50" w14:textId="77777777" w:rsidR="00B93D0F" w:rsidRDefault="00CF57E5">
      <w:pPr>
        <w:tabs>
          <w:tab w:val="left" w:pos="709"/>
        </w:tabs>
      </w:pPr>
      <w:r>
        <w:t>b) chov všech konvenčně chovaných zvířat, která se pasou na společných pozemcích, probíhá environmentálně šetrným způsobem</w:t>
      </w:r>
      <w:r>
        <w:t xml:space="preserve"> na půdě, která je podporována podle článků 23, 25, 28, 30, 31 a 34 nařízení (EU) č. 1305/2013 </w:t>
      </w:r>
      <w:r>
        <w:rPr>
          <w:i/>
        </w:rPr>
        <w:t>(programy jsou uvedeny výše)</w:t>
      </w:r>
      <w:r>
        <w:t xml:space="preserve">; </w:t>
      </w:r>
    </w:p>
    <w:p w14:paraId="5B052C51" w14:textId="77777777" w:rsidR="00B93D0F" w:rsidRDefault="00CF57E5">
      <w:pPr>
        <w:tabs>
          <w:tab w:val="left" w:pos="709"/>
        </w:tabs>
      </w:pPr>
      <w:r>
        <w:t>c) všechny živočišné produkty z ekologicky chovaných zvířat, které byly vyprodukovány v období, během kterého se tato zvířata pásl</w:t>
      </w:r>
      <w:r>
        <w:t>a na společných pozemcích, nejsou považovány za ekologické produkty, pokud nelze doložit náležité oddělení od konvenčně chovaných zvířat.</w:t>
      </w:r>
    </w:p>
    <w:p w14:paraId="5B052C52" w14:textId="77777777" w:rsidR="00B93D0F" w:rsidRDefault="00CF57E5">
      <w:pPr>
        <w:tabs>
          <w:tab w:val="left" w:pos="709"/>
        </w:tabs>
        <w:rPr>
          <w:i/>
        </w:rPr>
      </w:pPr>
      <w:r>
        <w:rPr>
          <w:i/>
        </w:rPr>
        <w:t>Jestliže se pasou konvenční a ekologická zvířata dohromady, nemůže být produkce z ekologických zvířat označena jako bi</w:t>
      </w:r>
      <w:r>
        <w:rPr>
          <w:i/>
        </w:rPr>
        <w:t xml:space="preserve">o s výjimkou případů, kdy lze prokázat, že zvířata byla náležitě oddělena. Pokud se na konvenční pastvině pasou pouze ekologická zvířata a jsou splněny výše uvedené podmínky, je možno produkci označit jako bio. </w:t>
      </w:r>
    </w:p>
    <w:p w14:paraId="5B052C53" w14:textId="77777777" w:rsidR="00B93D0F" w:rsidRDefault="00CF57E5">
      <w:pPr>
        <w:pStyle w:val="Odstavecseseznamem"/>
        <w:numPr>
          <w:ilvl w:val="0"/>
          <w:numId w:val="7"/>
        </w:numPr>
        <w:tabs>
          <w:tab w:val="left" w:pos="709"/>
        </w:tabs>
        <w:jc w:val="both"/>
        <w:rPr>
          <w:rFonts w:cs="Arial"/>
        </w:rPr>
      </w:pPr>
      <w:r>
        <w:rPr>
          <w:rFonts w:cs="Arial"/>
        </w:rPr>
        <w:t>V období sezónního přesunu se ekologicky cho</w:t>
      </w:r>
      <w:r>
        <w:rPr>
          <w:rFonts w:cs="Arial"/>
        </w:rPr>
        <w:t>vaná zvířata smějí během přehánění z jedné pastviny na druhou pást na pozemcích, které nejsou obhospodařovány ekologicky. Během tohoto období musí být ekologicky chovaná hospodářská zvířata oddělena od ostatních zvířat. Příjem jiného než ekologického krmiv</w:t>
      </w:r>
      <w:r>
        <w:rPr>
          <w:rFonts w:cs="Arial"/>
        </w:rPr>
        <w:t xml:space="preserve">a v podobě travin a jiné vegetace, kterou zvířata spásají, je povolen jen za těchto podmínek: </w:t>
      </w:r>
    </w:p>
    <w:p w14:paraId="5B052C54" w14:textId="77777777" w:rsidR="00B93D0F" w:rsidRDefault="00B93D0F">
      <w:pPr>
        <w:pStyle w:val="Odstavecseseznamem"/>
        <w:tabs>
          <w:tab w:val="left" w:pos="709"/>
        </w:tabs>
        <w:ind w:left="774"/>
        <w:rPr>
          <w:rFonts w:cs="Arial"/>
        </w:rPr>
      </w:pPr>
    </w:p>
    <w:p w14:paraId="5B052C55" w14:textId="77777777" w:rsidR="00B93D0F" w:rsidRDefault="00CF57E5">
      <w:pPr>
        <w:tabs>
          <w:tab w:val="left" w:pos="709"/>
        </w:tabs>
      </w:pPr>
      <w:r>
        <w:t xml:space="preserve">a) po dobu maximálně 35 dní zahrnujících cesty do cílové oblasti i zpět; nebo </w:t>
      </w:r>
    </w:p>
    <w:p w14:paraId="5B052C56" w14:textId="77777777" w:rsidR="00B93D0F" w:rsidRDefault="00CF57E5">
      <w:pPr>
        <w:tabs>
          <w:tab w:val="left" w:pos="709"/>
        </w:tabs>
      </w:pPr>
      <w:r>
        <w:t>b) pro maximálně 10 % z celkové roční krmné dávky vypočítané jako procentní podíl</w:t>
      </w:r>
      <w:r>
        <w:t xml:space="preserve"> sušiny v krmivu zemědělského původu.</w:t>
      </w:r>
    </w:p>
    <w:p w14:paraId="5B052C57" w14:textId="77777777" w:rsidR="00B93D0F" w:rsidRDefault="00B93D0F">
      <w:pPr>
        <w:tabs>
          <w:tab w:val="left" w:pos="709"/>
        </w:tabs>
        <w:rPr>
          <w:i/>
        </w:rPr>
      </w:pPr>
    </w:p>
    <w:p w14:paraId="5B052C58" w14:textId="77777777" w:rsidR="00B93D0F" w:rsidRDefault="00CF57E5">
      <w:pPr>
        <w:tabs>
          <w:tab w:val="left" w:pos="709"/>
        </w:tabs>
        <w:rPr>
          <w:i/>
        </w:rPr>
      </w:pPr>
      <w:r>
        <w:rPr>
          <w:i/>
        </w:rPr>
        <w:t>Ekologicky chovaná zvířata se tedy mohou během přesunu pást na konvenčních pozemcích maximálně po dobu 35 dní a krmná dávka nesmí přesáhnout 10 % z celkové roční krmné dávky vypočítané jako procentní podíl sušiny v kr</w:t>
      </w:r>
      <w:r>
        <w:rPr>
          <w:i/>
        </w:rPr>
        <w:t>mivu zemědělského původu a během tohoto období musí být ekologicky chovaná hospodářská zvířata oddělena (přinejmenším značením pomocí ušních známek) od konvenčních zvířat.</w:t>
      </w:r>
    </w:p>
    <w:p w14:paraId="5B052C59" w14:textId="77777777" w:rsidR="00B93D0F" w:rsidRDefault="00B93D0F">
      <w:pPr>
        <w:tabs>
          <w:tab w:val="left" w:pos="709"/>
        </w:tabs>
        <w:rPr>
          <w:b/>
        </w:rPr>
      </w:pPr>
    </w:p>
    <w:p w14:paraId="5B052C5A" w14:textId="77777777" w:rsidR="00B93D0F" w:rsidRDefault="00CF57E5">
      <w:pPr>
        <w:tabs>
          <w:tab w:val="left" w:pos="709"/>
        </w:tabs>
        <w:rPr>
          <w:b/>
        </w:rPr>
      </w:pPr>
      <w:r>
        <w:rPr>
          <w:b/>
        </w:rPr>
        <w:t>2.3. Příloha II, Část II, bod 1.3.4.4.5. nařízení (EU) 2018/848 stanoví:</w:t>
      </w:r>
    </w:p>
    <w:p w14:paraId="5B052C5B" w14:textId="77777777" w:rsidR="00B93D0F" w:rsidRDefault="00CF57E5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  <w:color w:val="000000"/>
        </w:rPr>
        <w:t>Zvířata po</w:t>
      </w:r>
      <w:r>
        <w:rPr>
          <w:rFonts w:cs="Arial"/>
          <w:color w:val="000000"/>
        </w:rPr>
        <w:t>cházející z konvenčního chovu oddělena od ostatních hospodářských zvířat nebo jsou nadále identifikovatelná.</w:t>
      </w:r>
    </w:p>
    <w:p w14:paraId="5B052C5C" w14:textId="77777777" w:rsidR="00B93D0F" w:rsidRDefault="00B93D0F">
      <w:pPr>
        <w:pStyle w:val="Odstavecseseznamem"/>
        <w:tabs>
          <w:tab w:val="left" w:pos="709"/>
        </w:tabs>
        <w:ind w:left="1785"/>
        <w:rPr>
          <w:rFonts w:cs="Arial"/>
          <w:b/>
        </w:rPr>
      </w:pPr>
    </w:p>
    <w:p w14:paraId="5B052C5D" w14:textId="77777777" w:rsidR="00B93D0F" w:rsidRDefault="00CF57E5">
      <w:pPr>
        <w:pStyle w:val="Odstavecseseznamem"/>
        <w:numPr>
          <w:ilvl w:val="0"/>
          <w:numId w:val="32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Pravidla produkce řas a živočichů pocházejících z akvakultury</w:t>
      </w:r>
    </w:p>
    <w:p w14:paraId="5B052C5E" w14:textId="77777777" w:rsidR="00B93D0F" w:rsidRDefault="00B93D0F">
      <w:pPr>
        <w:tabs>
          <w:tab w:val="left" w:pos="709"/>
        </w:tabs>
        <w:rPr>
          <w:b/>
          <w:szCs w:val="22"/>
        </w:rPr>
      </w:pPr>
    </w:p>
    <w:p w14:paraId="5B052C5F" w14:textId="77777777" w:rsidR="00B93D0F" w:rsidRDefault="00CF57E5">
      <w:pPr>
        <w:tabs>
          <w:tab w:val="left" w:pos="709"/>
        </w:tabs>
        <w:rPr>
          <w:b/>
        </w:rPr>
      </w:pPr>
      <w:r>
        <w:rPr>
          <w:b/>
        </w:rPr>
        <w:t xml:space="preserve"> 3.1.  Článek 9, nařízení (EU) 2018/848 stanoví:</w:t>
      </w:r>
    </w:p>
    <w:p w14:paraId="5B052C60" w14:textId="77777777" w:rsidR="00B93D0F" w:rsidRDefault="00CF57E5">
      <w:pPr>
        <w:pStyle w:val="Odstavecseseznamem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Podnik je rozdělen na jasně a účinně oddělené ekologické produkční jednotky, produkční jednotky v přechodném období a konvenční produkční jednotky, pokud se v případě konvenčních produkčních jednotek: </w:t>
      </w:r>
    </w:p>
    <w:p w14:paraId="5B052C61" w14:textId="77777777" w:rsidR="00B93D0F" w:rsidRDefault="00CF57E5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Pokud jde o řasy a živočichy pocházející z akvakultury, může se jednat o stejné druhy, jsou-li místa nebo produkční jednotky jasným a účinným způsobem odděleny.</w:t>
      </w:r>
    </w:p>
    <w:p w14:paraId="5B052C62" w14:textId="77777777" w:rsidR="00B93D0F" w:rsidRDefault="00B93D0F"/>
    <w:p w14:paraId="5B052C63" w14:textId="77777777" w:rsidR="00B93D0F" w:rsidRDefault="00B93D0F"/>
    <w:p w14:paraId="5B052C64" w14:textId="77777777" w:rsidR="00B93D0F" w:rsidRDefault="00CF57E5">
      <w:pPr>
        <w:tabs>
          <w:tab w:val="left" w:pos="709"/>
        </w:tabs>
        <w:rPr>
          <w:b/>
        </w:rPr>
      </w:pPr>
      <w:r>
        <w:rPr>
          <w:b/>
        </w:rPr>
        <w:t xml:space="preserve">  3.2.  Příloha II, Část III, bod 1.2 nařízení (EU) 2018/848 stanoví:</w:t>
      </w:r>
    </w:p>
    <w:p w14:paraId="5B052C65" w14:textId="77777777" w:rsidR="00B93D0F" w:rsidRDefault="00CF57E5">
      <w:pPr>
        <w:pStyle w:val="Odstavecseseznamem"/>
        <w:numPr>
          <w:ilvl w:val="0"/>
          <w:numId w:val="12"/>
        </w:numPr>
        <w:tabs>
          <w:tab w:val="left" w:pos="709"/>
        </w:tabs>
        <w:jc w:val="both"/>
        <w:rPr>
          <w:rFonts w:cs="Arial"/>
          <w:b/>
        </w:rPr>
      </w:pPr>
      <w:r>
        <w:rPr>
          <w:rFonts w:cs="Arial"/>
          <w:color w:val="000000"/>
          <w:u w:val="single"/>
        </w:rPr>
        <w:t xml:space="preserve">Ekologické a konvenční </w:t>
      </w:r>
      <w:r>
        <w:rPr>
          <w:rFonts w:cs="Arial"/>
          <w:color w:val="000000"/>
          <w:u w:val="single"/>
        </w:rPr>
        <w:t>produkční jednotky jsou odpovídajícím způsobem odděleny</w:t>
      </w:r>
      <w:r>
        <w:rPr>
          <w:rFonts w:cs="Arial"/>
          <w:color w:val="000000"/>
        </w:rPr>
        <w:t xml:space="preserve"> v souladu s minimálními odstupy </w:t>
      </w:r>
      <w:r>
        <w:rPr>
          <w:rFonts w:cs="Arial"/>
          <w:i/>
          <w:color w:val="000000"/>
        </w:rPr>
        <w:t>(tj. minimální separace ekologické a konvenční jednotky)</w:t>
      </w:r>
      <w:r>
        <w:rPr>
          <w:rFonts w:cs="Arial"/>
          <w:color w:val="000000"/>
        </w:rPr>
        <w:t>. Takováto separační opatření jsou založena na přírodních podmínkách, oddělených systémech rozvodu vody, vzdálen</w:t>
      </w:r>
      <w:r>
        <w:rPr>
          <w:rFonts w:cs="Arial"/>
          <w:color w:val="000000"/>
        </w:rPr>
        <w:t>ostech.</w:t>
      </w:r>
    </w:p>
    <w:p w14:paraId="5B052C66" w14:textId="77777777" w:rsidR="00B93D0F" w:rsidRDefault="00B93D0F">
      <w:pPr>
        <w:pStyle w:val="Odstavecseseznamem"/>
        <w:tabs>
          <w:tab w:val="left" w:pos="709"/>
        </w:tabs>
        <w:ind w:left="720"/>
        <w:jc w:val="both"/>
        <w:rPr>
          <w:rFonts w:cs="Arial"/>
          <w:b/>
        </w:rPr>
      </w:pPr>
    </w:p>
    <w:p w14:paraId="5B052C67" w14:textId="77777777" w:rsidR="00B93D0F" w:rsidRDefault="00B93D0F">
      <w:pPr>
        <w:pStyle w:val="Odstavecseseznamem"/>
        <w:tabs>
          <w:tab w:val="left" w:pos="709"/>
        </w:tabs>
        <w:ind w:left="1065"/>
        <w:rPr>
          <w:rFonts w:cs="Arial"/>
          <w:b/>
        </w:rPr>
      </w:pPr>
    </w:p>
    <w:p w14:paraId="5B052C68" w14:textId="77777777" w:rsidR="00B93D0F" w:rsidRDefault="00CF57E5">
      <w:pPr>
        <w:pStyle w:val="Odstavecseseznamem"/>
        <w:numPr>
          <w:ilvl w:val="0"/>
          <w:numId w:val="32"/>
        </w:numPr>
        <w:tabs>
          <w:tab w:val="left" w:pos="709"/>
        </w:tabs>
        <w:rPr>
          <w:rFonts w:cs="Arial"/>
          <w:b/>
        </w:rPr>
      </w:pPr>
      <w:r>
        <w:rPr>
          <w:rFonts w:cs="Arial"/>
          <w:b/>
          <w:sz w:val="24"/>
          <w:szCs w:val="24"/>
        </w:rPr>
        <w:t>Pravidla pro účely kontroly</w:t>
      </w:r>
    </w:p>
    <w:p w14:paraId="5B052C69" w14:textId="77777777" w:rsidR="00B93D0F" w:rsidRDefault="00B93D0F">
      <w:pPr>
        <w:pStyle w:val="Odstavecseseznamem"/>
        <w:tabs>
          <w:tab w:val="left" w:pos="709"/>
        </w:tabs>
        <w:ind w:left="720"/>
        <w:rPr>
          <w:rFonts w:cs="Arial"/>
          <w:b/>
        </w:rPr>
      </w:pPr>
    </w:p>
    <w:p w14:paraId="5B052C6A" w14:textId="77777777" w:rsidR="00B93D0F" w:rsidRDefault="00CF57E5">
      <w:pPr>
        <w:tabs>
          <w:tab w:val="left" w:pos="709"/>
        </w:tabs>
        <w:rPr>
          <w:b/>
        </w:rPr>
      </w:pPr>
      <w:r>
        <w:rPr>
          <w:b/>
          <w:iCs/>
        </w:rPr>
        <w:t xml:space="preserve">4.1.    Článek 38, odst. 1, písm. b), c) </w:t>
      </w:r>
      <w:r>
        <w:rPr>
          <w:b/>
        </w:rPr>
        <w:t>nařízení (EU) 2018/848 stanoví d</w:t>
      </w:r>
      <w:r>
        <w:rPr>
          <w:b/>
          <w:bCs/>
        </w:rPr>
        <w:t>oplňující pravidla týkající se kontrol a opatření:</w:t>
      </w:r>
    </w:p>
    <w:p w14:paraId="5B052C6B" w14:textId="77777777" w:rsidR="00B93D0F" w:rsidRDefault="00CF57E5">
      <w:pPr>
        <w:tabs>
          <w:tab w:val="left" w:pos="709"/>
        </w:tabs>
        <w:rPr>
          <w:b/>
        </w:rPr>
      </w:pPr>
      <w:r>
        <w:rPr>
          <w:b/>
        </w:rPr>
        <w:lastRenderedPageBreak/>
        <w:t>Pro účely úřední kontroly hospodářský subjekt provozující souběžnou ekologickou a konvenční p</w:t>
      </w:r>
      <w:r>
        <w:rPr>
          <w:b/>
        </w:rPr>
        <w:t>rodukci poskytne:</w:t>
      </w:r>
    </w:p>
    <w:p w14:paraId="5B052C6C" w14:textId="77777777" w:rsidR="00B93D0F" w:rsidRDefault="00CF57E5">
      <w:pPr>
        <w:pStyle w:val="Odstavecseseznamem"/>
        <w:numPr>
          <w:ilvl w:val="0"/>
          <w:numId w:val="27"/>
        </w:numPr>
        <w:tabs>
          <w:tab w:val="left" w:pos="709"/>
        </w:tabs>
        <w:jc w:val="both"/>
        <w:rPr>
          <w:rFonts w:cs="Arial"/>
        </w:rPr>
      </w:pPr>
      <w:r>
        <w:rPr>
          <w:rFonts w:cs="Arial"/>
          <w:b/>
        </w:rPr>
        <w:t>Záznamy o postupech, kterými je zajištěno zřetelné oddělení konvenční, přechodné a ekologické jednotky</w:t>
      </w:r>
    </w:p>
    <w:p w14:paraId="5B052C6D" w14:textId="77777777" w:rsidR="00B93D0F" w:rsidRDefault="00B93D0F">
      <w:pPr>
        <w:pStyle w:val="Odstavecseseznamem"/>
        <w:tabs>
          <w:tab w:val="left" w:pos="709"/>
        </w:tabs>
        <w:ind w:left="720"/>
        <w:jc w:val="both"/>
        <w:rPr>
          <w:rFonts w:cs="Arial"/>
        </w:rPr>
      </w:pPr>
    </w:p>
    <w:p w14:paraId="5B052C6E" w14:textId="77777777" w:rsidR="00B93D0F" w:rsidRDefault="00CF57E5">
      <w:pPr>
        <w:pStyle w:val="Odstavecseseznamem"/>
        <w:numPr>
          <w:ilvl w:val="0"/>
          <w:numId w:val="24"/>
        </w:numPr>
        <w:tabs>
          <w:tab w:val="left" w:pos="709"/>
        </w:tabs>
        <w:jc w:val="both"/>
        <w:rPr>
          <w:rFonts w:cs="Arial"/>
        </w:rPr>
      </w:pPr>
      <w:r>
        <w:rPr>
          <w:rFonts w:cs="Arial"/>
        </w:rPr>
        <w:t>zahrnuje-li podnik konvenční produkční jednotky nebo produkční jednotky v přechodném období, musí podnik zajistit zřetelné a účinné od</w:t>
      </w:r>
      <w:r>
        <w:rPr>
          <w:rFonts w:cs="Arial"/>
        </w:rPr>
        <w:t>dělení mezi ekologickými produkčními jednotkami, produkčními jednotkami v přechodném období a konvenčními produkčními jednotkami a mezi produkty vyprodukovanými těmito jednotkami, jakož i zřetelné a účinné oddělení látek a produktů používaných pro ekologic</w:t>
      </w:r>
      <w:r>
        <w:rPr>
          <w:rFonts w:cs="Arial"/>
        </w:rPr>
        <w:t>ké produkční jednotky, produkční jednotky v přechodném období a konvenční produkční jednotky; toto ověření zahrnuje kontroly pozemků, u nichž bylo předcházející období zpětně uznáno jako součást přechodného období, a kontroly konvenčních produkčních jednot</w:t>
      </w:r>
      <w:r>
        <w:rPr>
          <w:rFonts w:cs="Arial"/>
        </w:rPr>
        <w:t xml:space="preserve">ek; </w:t>
      </w:r>
    </w:p>
    <w:p w14:paraId="5B052C6F" w14:textId="77777777" w:rsidR="00B93D0F" w:rsidRDefault="00B93D0F">
      <w:pPr>
        <w:pStyle w:val="Odstavecseseznamem"/>
        <w:tabs>
          <w:tab w:val="left" w:pos="709"/>
        </w:tabs>
        <w:ind w:left="1080"/>
        <w:jc w:val="both"/>
        <w:rPr>
          <w:rFonts w:cs="Arial"/>
        </w:rPr>
      </w:pPr>
    </w:p>
    <w:p w14:paraId="5B052C70" w14:textId="77777777" w:rsidR="00B93D0F" w:rsidRDefault="00CF57E5">
      <w:pPr>
        <w:pStyle w:val="Odstavecseseznamem"/>
        <w:numPr>
          <w:ilvl w:val="0"/>
          <w:numId w:val="24"/>
        </w:numPr>
        <w:tabs>
          <w:tab w:val="left" w:pos="709"/>
        </w:tabs>
        <w:jc w:val="both"/>
        <w:rPr>
          <w:rFonts w:cs="Arial"/>
        </w:rPr>
      </w:pPr>
      <w:r>
        <w:rPr>
          <w:rFonts w:cs="Arial"/>
        </w:rPr>
        <w:t>jsou-li ekologické produkty, produkty z přechodného období a produkty z konvenční produkce hospodářskými subjekty sbírány současně, jsou-li připravovány či skladovány ve stejné jednotce, místě či prostorách sloužících k přípravě nebo jsou-li přepravo</w:t>
      </w:r>
      <w:r>
        <w:rPr>
          <w:rFonts w:cs="Arial"/>
        </w:rPr>
        <w:t>vány jiným hospodářským subjektům nebo do jiných jednotek, ověření záznamů a opatření, postupů či ujednání zavedených s cílem zajistit, aby byly činnosti prováděny fyzicky nebo časově odděleně, aby byla uplatňována vhodná čisticí opatření a případně opatře</w:t>
      </w:r>
      <w:r>
        <w:rPr>
          <w:rFonts w:cs="Arial"/>
        </w:rPr>
        <w:t>ní k zamezení záměny produktů, aby byly ekologické produkty a produkty z přechodného období vždy identifikovány a aby byly ekologické produkty, produkty z přechodného období a konvenční produkty před provedením přípravných činností a po nich skladovány fyz</w:t>
      </w:r>
      <w:r>
        <w:rPr>
          <w:rFonts w:cs="Arial"/>
        </w:rPr>
        <w:t>icky nebo časově navzájem odděleně.</w:t>
      </w:r>
    </w:p>
    <w:p w14:paraId="5B052C71" w14:textId="77777777" w:rsidR="00B93D0F" w:rsidRDefault="00B93D0F">
      <w:pPr>
        <w:pStyle w:val="Odstavecseseznamem"/>
        <w:tabs>
          <w:tab w:val="left" w:pos="709"/>
        </w:tabs>
        <w:ind w:left="766"/>
        <w:jc w:val="both"/>
        <w:rPr>
          <w:rFonts w:cs="Arial"/>
        </w:rPr>
      </w:pPr>
    </w:p>
    <w:p w14:paraId="5B052C72" w14:textId="77777777" w:rsidR="00B93D0F" w:rsidRDefault="00CF57E5">
      <w:pPr>
        <w:tabs>
          <w:tab w:val="left" w:pos="709"/>
        </w:tabs>
        <w:rPr>
          <w:i/>
        </w:rPr>
      </w:pPr>
      <w:r>
        <w:rPr>
          <w:i/>
        </w:rPr>
        <w:t xml:space="preserve">Ekologické produkty, pozemky a jednotky, konvenční produkty a pozemky a jednotky a produkty z přechodného období musí být jasně fyzicky oddělené. Za dostačující oddělení pozemků se považuje např. remízky, meze, polní cesty, pásy zeleně široké alespoň 2 m, </w:t>
      </w:r>
      <w:r>
        <w:rPr>
          <w:i/>
        </w:rPr>
        <w:t>vodní tok atd. Skladování musí být rovněž jasně fyzicky nebo časově odděleno, musí byt vyloučena jakákoliv možnost smíchání ekologické produkce, konvenční produkce a produkce z přechodného období. Výroba musí probíhat fyzicky nebo časově oddělena. Totéž pl</w:t>
      </w:r>
      <w:r>
        <w:rPr>
          <w:i/>
        </w:rPr>
        <w:t>atí pro volný sběr. Při čistění produkce musí být použita vhodná čistící opatření. Veškeré záznamy by měly být vedeny přehledně, aby byla možná okamžitá identifikace ekologické jednotky, konvenční jednotky a jednotky v období přechodu.</w:t>
      </w:r>
    </w:p>
    <w:p w14:paraId="5B052C73" w14:textId="77777777" w:rsidR="00B93D0F" w:rsidRDefault="00B93D0F">
      <w:pPr>
        <w:pStyle w:val="Odstavecseseznamem"/>
        <w:tabs>
          <w:tab w:val="left" w:pos="709"/>
        </w:tabs>
        <w:ind w:left="1065"/>
        <w:jc w:val="both"/>
        <w:rPr>
          <w:rFonts w:cs="Arial"/>
          <w:b/>
        </w:rPr>
      </w:pPr>
    </w:p>
    <w:p w14:paraId="5B052C74" w14:textId="77777777" w:rsidR="00B93D0F" w:rsidRDefault="00B93D0F">
      <w:pPr>
        <w:pStyle w:val="Odstavecseseznamem"/>
        <w:ind w:left="1440"/>
        <w:jc w:val="both"/>
        <w:rPr>
          <w:rFonts w:cs="Arial"/>
        </w:rPr>
      </w:pPr>
    </w:p>
    <w:p w14:paraId="5B052C75" w14:textId="77777777" w:rsidR="00B93D0F" w:rsidRDefault="00CF57E5">
      <w:pPr>
        <w:pStyle w:val="Odstavecseseznamem"/>
        <w:numPr>
          <w:ilvl w:val="0"/>
          <w:numId w:val="32"/>
        </w:numPr>
        <w:tabs>
          <w:tab w:val="left" w:pos="709"/>
        </w:tabs>
        <w:jc w:val="both"/>
        <w:rPr>
          <w:rFonts w:cs="Arial"/>
          <w:b/>
        </w:rPr>
      </w:pPr>
      <w:r>
        <w:rPr>
          <w:rFonts w:cs="Arial"/>
          <w:b/>
        </w:rPr>
        <w:t>Závěrečná ustanove</w:t>
      </w:r>
      <w:r>
        <w:rPr>
          <w:rFonts w:cs="Arial"/>
          <w:b/>
        </w:rPr>
        <w:t>ní</w:t>
      </w:r>
    </w:p>
    <w:p w14:paraId="5B052C76" w14:textId="77777777" w:rsidR="00B93D0F" w:rsidRDefault="00B93D0F">
      <w:pPr>
        <w:pStyle w:val="Odstavecseseznamem"/>
        <w:tabs>
          <w:tab w:val="left" w:pos="709"/>
        </w:tabs>
        <w:ind w:left="720"/>
        <w:contextualSpacing/>
        <w:jc w:val="both"/>
        <w:rPr>
          <w:rFonts w:cs="Arial"/>
          <w:b/>
        </w:rPr>
      </w:pPr>
    </w:p>
    <w:p w14:paraId="5B052C77" w14:textId="77777777" w:rsidR="00B93D0F" w:rsidRDefault="00CF57E5">
      <w:pPr>
        <w:pStyle w:val="Odstavecseseznamem"/>
        <w:tabs>
          <w:tab w:val="left" w:pos="709"/>
        </w:tabs>
        <w:ind w:left="720" w:hanging="720"/>
        <w:contextualSpacing/>
        <w:jc w:val="both"/>
        <w:rPr>
          <w:rFonts w:cs="Arial"/>
        </w:rPr>
      </w:pPr>
      <w:r>
        <w:rPr>
          <w:rFonts w:cs="Arial"/>
        </w:rPr>
        <w:t>5.1.</w:t>
      </w:r>
      <w:r>
        <w:rPr>
          <w:rFonts w:cs="Arial"/>
        </w:rPr>
        <w:tab/>
        <w:t>Metodický pokyn č. 9/2016 č.j. 61016/2016-MZE-17252 se zrušuje k 31.12.2021</w:t>
      </w:r>
    </w:p>
    <w:p w14:paraId="5B052C78" w14:textId="77777777" w:rsidR="00B93D0F" w:rsidRDefault="00B93D0F">
      <w:pPr>
        <w:tabs>
          <w:tab w:val="left" w:pos="709"/>
        </w:tabs>
      </w:pPr>
    </w:p>
    <w:p w14:paraId="5B052C79" w14:textId="77777777" w:rsidR="00B93D0F" w:rsidRDefault="00CF57E5">
      <w:pPr>
        <w:tabs>
          <w:tab w:val="left" w:pos="709"/>
        </w:tabs>
      </w:pPr>
      <w:r>
        <w:t>5.2.</w:t>
      </w:r>
      <w:r>
        <w:tab/>
        <w:t xml:space="preserve">Tento metodický pokyn nabývá účinnosti dnem 1. 1. 2022. </w:t>
      </w:r>
    </w:p>
    <w:p w14:paraId="5B052C7A" w14:textId="77777777" w:rsidR="00B93D0F" w:rsidRDefault="00B93D0F">
      <w:pPr>
        <w:ind w:left="426"/>
      </w:pPr>
    </w:p>
    <w:p w14:paraId="5B052C7B" w14:textId="77777777" w:rsidR="00B93D0F" w:rsidRDefault="00B93D0F">
      <w:pPr>
        <w:ind w:left="426"/>
      </w:pPr>
    </w:p>
    <w:p w14:paraId="5B052C7C" w14:textId="77777777" w:rsidR="00B93D0F" w:rsidRDefault="00B93D0F">
      <w:pPr>
        <w:ind w:left="426"/>
      </w:pPr>
    </w:p>
    <w:p w14:paraId="5B052C7D" w14:textId="77777777" w:rsidR="00B93D0F" w:rsidRDefault="00B93D0F">
      <w:pPr>
        <w:ind w:left="426"/>
      </w:pPr>
    </w:p>
    <w:p w14:paraId="5B052C7E" w14:textId="77777777" w:rsidR="00B93D0F" w:rsidRDefault="00B93D0F">
      <w:pPr>
        <w:ind w:left="426"/>
      </w:pPr>
    </w:p>
    <w:p w14:paraId="5B052C7F" w14:textId="77777777" w:rsidR="00B93D0F" w:rsidRDefault="00CF57E5">
      <w:r>
        <w:t>V Praze dne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Ing. Petr Jílek</w:t>
      </w:r>
    </w:p>
    <w:p w14:paraId="5B052C80" w14:textId="77777777" w:rsidR="00B93D0F" w:rsidRDefault="00CF57E5">
      <w:pPr>
        <w:ind w:left="2977"/>
        <w:contextualSpacing/>
        <w:jc w:val="center"/>
      </w:pPr>
      <w:r>
        <w:t>ředitel Odboru environmentálního</w:t>
      </w:r>
    </w:p>
    <w:p w14:paraId="5B052C81" w14:textId="77777777" w:rsidR="00B93D0F" w:rsidRDefault="00CF57E5">
      <w:pPr>
        <w:ind w:left="2977"/>
        <w:contextualSpacing/>
        <w:jc w:val="center"/>
      </w:pPr>
      <w:r>
        <w:t>a ekologického zemědělství</w:t>
      </w:r>
    </w:p>
    <w:p w14:paraId="5B052C82" w14:textId="77777777" w:rsidR="00B93D0F" w:rsidRDefault="00B93D0F"/>
    <w:p w14:paraId="5B052C83" w14:textId="77777777" w:rsidR="00B93D0F" w:rsidRDefault="00B93D0F">
      <w:pPr>
        <w:rPr>
          <w:rFonts w:asciiTheme="minorHAnsi" w:hAnsiTheme="minorHAnsi" w:cstheme="minorBidi"/>
        </w:rPr>
      </w:pPr>
    </w:p>
    <w:p w14:paraId="5B052C84" w14:textId="77777777" w:rsidR="00B93D0F" w:rsidRDefault="00B93D0F">
      <w:pPr>
        <w:rPr>
          <w:szCs w:val="22"/>
        </w:rPr>
      </w:pPr>
    </w:p>
    <w:sectPr w:rsidR="00B93D0F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52C93" w14:textId="77777777" w:rsidR="00000000" w:rsidRDefault="00CF57E5">
      <w:r>
        <w:separator/>
      </w:r>
    </w:p>
  </w:endnote>
  <w:endnote w:type="continuationSeparator" w:id="0">
    <w:p w14:paraId="5B052C95" w14:textId="77777777" w:rsidR="00000000" w:rsidRDefault="00CF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2C8C" w14:textId="44C4C4A1" w:rsidR="00B93D0F" w:rsidRDefault="00CF57E5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MZE-43162/2021-18132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5B052C8D" w14:textId="77777777" w:rsidR="00B93D0F" w:rsidRDefault="00B93D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52C8F" w14:textId="77777777" w:rsidR="00000000" w:rsidRDefault="00CF57E5">
      <w:r>
        <w:separator/>
      </w:r>
    </w:p>
  </w:footnote>
  <w:footnote w:type="continuationSeparator" w:id="0">
    <w:p w14:paraId="5B052C91" w14:textId="77777777" w:rsidR="00000000" w:rsidRDefault="00CF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2C8A" w14:textId="77777777" w:rsidR="00B93D0F" w:rsidRDefault="00CF57E5">
    <w:r>
      <w:pict w14:anchorId="5B052C8F">
        <v:shape id="WordPictureWatermark1daac027c-497b-48c4-bb1d-c1dace6758bd" o:spid="_x0000_s3074" style="position:absolute;left:0;text-align:left;margin-left:0;margin-top:0;width:576.1pt;height:414.05pt;z-index:-251658752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2C8B" w14:textId="77777777" w:rsidR="00B93D0F" w:rsidRDefault="00CF57E5">
    <w:r>
      <w:pict w14:anchorId="5B052C90">
        <v:shape id="WordPictureWatermark162c7731f-b291-4eb3-bbff-dabedf37cb72" o:spid="_x0000_s3073" style="position:absolute;left:0;text-align:left;margin-left:0;margin-top:0;width:576.1pt;height:414.05pt;z-index:-251657728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2C8E" w14:textId="77777777" w:rsidR="00B93D0F" w:rsidRDefault="00CF57E5">
    <w:r>
      <w:pict w14:anchorId="5B052C91">
        <v:shape id="WordPictureWatermark1588f3df6-7c84-45d5-9252-72dac4aa5d1c" o:spid="_x0000_s3075" style="position:absolute;left:0;text-align:left;margin-left:0;margin-top:0;width:576.1pt;height:414.05pt;z-index:-251659776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C666"/>
    <w:multiLevelType w:val="multilevel"/>
    <w:tmpl w:val="E0EEC6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D127751"/>
    <w:multiLevelType w:val="multilevel"/>
    <w:tmpl w:val="F4B6A6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D9958C6"/>
    <w:multiLevelType w:val="multilevel"/>
    <w:tmpl w:val="243C6E1E"/>
    <w:lvl w:ilvl="0">
      <w:start w:val="2"/>
      <w:numFmt w:val="bullet"/>
      <w:lvlText w:val="-"/>
      <w:lvlJc w:val="left"/>
      <w:pPr>
        <w:ind w:left="766" w:hanging="360"/>
      </w:pPr>
      <w:rPr>
        <w:rFonts w:ascii="Calibri" w:eastAsia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78A046E"/>
    <w:multiLevelType w:val="multilevel"/>
    <w:tmpl w:val="F0A0B4C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2BE406BA"/>
    <w:multiLevelType w:val="multilevel"/>
    <w:tmpl w:val="96DA9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2C5C0"/>
    <w:multiLevelType w:val="multilevel"/>
    <w:tmpl w:val="CBA294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EB817A5"/>
    <w:multiLevelType w:val="multilevel"/>
    <w:tmpl w:val="69429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7D47"/>
    <w:multiLevelType w:val="multilevel"/>
    <w:tmpl w:val="35D47A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33410DB7"/>
    <w:multiLevelType w:val="multilevel"/>
    <w:tmpl w:val="A77011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74167"/>
    <w:multiLevelType w:val="multilevel"/>
    <w:tmpl w:val="B8868E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392B6369"/>
    <w:multiLevelType w:val="multilevel"/>
    <w:tmpl w:val="80BAF9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93464"/>
    <w:multiLevelType w:val="multilevel"/>
    <w:tmpl w:val="E3642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C0714"/>
    <w:multiLevelType w:val="multilevel"/>
    <w:tmpl w:val="55A282D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C2A6A"/>
    <w:multiLevelType w:val="multilevel"/>
    <w:tmpl w:val="ACB67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64A3"/>
    <w:multiLevelType w:val="multilevel"/>
    <w:tmpl w:val="892A9C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9ACE45D"/>
    <w:multiLevelType w:val="multilevel"/>
    <w:tmpl w:val="20B8BC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2246D03"/>
    <w:multiLevelType w:val="multilevel"/>
    <w:tmpl w:val="17E87B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53618B05"/>
    <w:multiLevelType w:val="multilevel"/>
    <w:tmpl w:val="DF623D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537A2F65"/>
    <w:multiLevelType w:val="multilevel"/>
    <w:tmpl w:val="AFC00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3820"/>
    <w:multiLevelType w:val="multilevel"/>
    <w:tmpl w:val="0AE8AE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776F81D"/>
    <w:multiLevelType w:val="multilevel"/>
    <w:tmpl w:val="F6C464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58D27B7F"/>
    <w:multiLevelType w:val="multilevel"/>
    <w:tmpl w:val="38685D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2B629D0"/>
    <w:multiLevelType w:val="multilevel"/>
    <w:tmpl w:val="708664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62F3485B"/>
    <w:multiLevelType w:val="multilevel"/>
    <w:tmpl w:val="5BBA4FBC"/>
    <w:lvl w:ilvl="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4F2C85"/>
    <w:multiLevelType w:val="multilevel"/>
    <w:tmpl w:val="72BC15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90093"/>
    <w:multiLevelType w:val="multilevel"/>
    <w:tmpl w:val="8CE6B6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6EF02E3C"/>
    <w:multiLevelType w:val="multilevel"/>
    <w:tmpl w:val="D5B41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3141A"/>
    <w:multiLevelType w:val="multilevel"/>
    <w:tmpl w:val="F0CEA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2436E"/>
    <w:multiLevelType w:val="multilevel"/>
    <w:tmpl w:val="CB68DA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787733C4"/>
    <w:multiLevelType w:val="multilevel"/>
    <w:tmpl w:val="64AED3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 w15:restartNumberingAfterBreak="0">
    <w:nsid w:val="79D81AD6"/>
    <w:multiLevelType w:val="multilevel"/>
    <w:tmpl w:val="EBBE9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000020848821"/>
    <w:docVar w:name="dms_carovy_kod_cj" w:val="MZE-43162/2021-18132"/>
    <w:docVar w:name="dms_cj" w:val="MZE-43162/2021-18132"/>
    <w:docVar w:name="dms_datum" w:val="20. 7. 2021"/>
    <w:docVar w:name="dms_datum_textem" w:val="20. července 2021"/>
    <w:docVar w:name="dms_datum_vzniku" w:val="16. 7. 2021 12:23:56"/>
    <w:docVar w:name="dms_el_pecet" w:val=" "/>
    <w:docVar w:name="dms_el_podpis" w:val="%%%el_podpis%%%"/>
    <w:docVar w:name="dms_nadrizeny_reditel" w:val="Ing. Jindřich Fialk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Petr Jílek_x000d__x000a_ředitel odboru"/>
    <w:docVar w:name="dms_podpisova_dolozka_funkce" w:val="ředitel odboru"/>
    <w:docVar w:name="dms_podpisova_dolozka_jmeno" w:val="Ing. Petr Jílek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MZE-43162/2021-18132"/>
    <w:docVar w:name="dms_spravce_jmeno" w:val="JUDr. Věra Jurášová"/>
    <w:docVar w:name="dms_spravce_mail" w:val="Vera.Jurasova@mze.cz"/>
    <w:docVar w:name="dms_spravce_telefon" w:val="221812870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8130"/>
    <w:docVar w:name="dms_utvar_nazev" w:val="Odbor environmentální a ekologického zemědělství"/>
    <w:docVar w:name="dms_utvar_nazev_adresa" w:val="18130 - Odbor environmentální a ekologického zemědělství_x000d__x000a_Těšnov 65/17_x000d__x000a_Nové Město_x000d__x000a_110 00 Praha 1"/>
    <w:docVar w:name="dms_utvar_nazev_do_dopisu" w:val="Odbor environmentální a ekologického zemědělství"/>
    <w:docVar w:name="dms_vec" w:val="MP č. 4/2021"/>
    <w:docVar w:name="dms_VNVSpravce" w:val="%%%nevyplněno%%%"/>
    <w:docVar w:name="dms_zpracoval_jmeno" w:val="JUDr. Věra Jurášová"/>
    <w:docVar w:name="dms_zpracoval_mail" w:val="Vera.Jurasova@mze.cz"/>
    <w:docVar w:name="dms_zpracoval_telefon" w:val="221812870"/>
  </w:docVars>
  <w:rsids>
    <w:rsidRoot w:val="00B93D0F"/>
    <w:rsid w:val="00B93D0F"/>
    <w:rsid w:val="00C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,2"/>
      <o:rules v:ext="edit">
        <o:r id="V:Rule1" type="connector" idref="#_x0000_s3029"/>
      </o:rules>
    </o:shapelayout>
  </w:shapeDefaults>
  <w:decimalSymbol w:val=","/>
  <w:listSeparator w:val=";"/>
  <w14:docId w14:val="5B052C13"/>
  <w15:docId w15:val="{28CE2090-EB89-4C9F-90D1-59E6E8E0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pPr>
      <w:ind w:left="708"/>
      <w:jc w:val="left"/>
    </w:pPr>
    <w:rPr>
      <w:rFonts w:eastAsia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Jurášová Věra</cp:lastModifiedBy>
  <cp:revision>2</cp:revision>
  <dcterms:created xsi:type="dcterms:W3CDTF">2021-07-20T09:27:00Z</dcterms:created>
  <dcterms:modified xsi:type="dcterms:W3CDTF">2021-07-20T09:27:00Z</dcterms:modified>
</cp:coreProperties>
</file>