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02" w:rsidRDefault="00313902" w:rsidP="00313902">
      <w:pPr>
        <w:spacing w:after="120" w:line="264" w:lineRule="auto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Alternativní návrh </w:t>
      </w:r>
      <w:proofErr w:type="spellStart"/>
      <w:r w:rsidRPr="005F5D08">
        <w:rPr>
          <w:b/>
          <w:sz w:val="24"/>
          <w:szCs w:val="24"/>
          <w:u w:val="single"/>
        </w:rPr>
        <w:t>celofaremního</w:t>
      </w:r>
      <w:proofErr w:type="spellEnd"/>
      <w:r w:rsidRPr="005F5D08">
        <w:rPr>
          <w:b/>
          <w:sz w:val="24"/>
          <w:szCs w:val="24"/>
          <w:u w:val="single"/>
        </w:rPr>
        <w:t xml:space="preserve"> pojetí </w:t>
      </w:r>
      <w:proofErr w:type="spellStart"/>
      <w:r>
        <w:rPr>
          <w:rFonts w:eastAsia="Times New Roman"/>
          <w:b/>
          <w:u w:val="single"/>
        </w:rPr>
        <w:t>ekoplatby</w:t>
      </w:r>
      <w:proofErr w:type="spellEnd"/>
    </w:p>
    <w:p w:rsidR="00313902" w:rsidRDefault="00313902" w:rsidP="00584476">
      <w:pPr>
        <w:spacing w:after="120" w:line="264" w:lineRule="auto"/>
        <w:rPr>
          <w:rFonts w:eastAsia="Times New Roman"/>
          <w:b/>
          <w:u w:val="single"/>
        </w:rPr>
      </w:pPr>
    </w:p>
    <w:p w:rsidR="00584476" w:rsidRPr="005F5D08" w:rsidRDefault="00584476" w:rsidP="00584476">
      <w:pPr>
        <w:spacing w:after="120" w:line="264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Důležité upozornění</w:t>
      </w:r>
      <w:r w:rsidRPr="005F5D08">
        <w:rPr>
          <w:rFonts w:eastAsia="Times New Roman"/>
          <w:b/>
          <w:u w:val="single"/>
        </w:rPr>
        <w:t>:</w:t>
      </w:r>
    </w:p>
    <w:p w:rsidR="00584476" w:rsidRDefault="00584476" w:rsidP="00584476">
      <w:pPr>
        <w:spacing w:after="120" w:line="264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Jedná se o </w:t>
      </w:r>
      <w:r w:rsidRPr="00584476">
        <w:rPr>
          <w:rFonts w:eastAsia="Times New Roman"/>
          <w:b/>
        </w:rPr>
        <w:t>návrh k</w:t>
      </w:r>
      <w:r w:rsidR="00E44927">
        <w:rPr>
          <w:rFonts w:eastAsia="Times New Roman"/>
          <w:b/>
        </w:rPr>
        <w:t> </w:t>
      </w:r>
      <w:r w:rsidRPr="00584476">
        <w:rPr>
          <w:rFonts w:eastAsia="Times New Roman"/>
          <w:b/>
        </w:rPr>
        <w:t>diskusi</w:t>
      </w:r>
      <w:r w:rsidR="00E44927">
        <w:rPr>
          <w:rFonts w:eastAsia="Times New Roman"/>
          <w:b/>
        </w:rPr>
        <w:t xml:space="preserve"> </w:t>
      </w:r>
      <w:r w:rsidR="00E44927">
        <w:rPr>
          <w:rFonts w:eastAsia="Times New Roman"/>
        </w:rPr>
        <w:t>na národní úrovni</w:t>
      </w:r>
      <w:r>
        <w:rPr>
          <w:rFonts w:eastAsia="Times New Roman"/>
        </w:rPr>
        <w:t xml:space="preserve"> – legislativa je stále v</w:t>
      </w:r>
      <w:r w:rsidR="00E44927">
        <w:rPr>
          <w:rFonts w:eastAsia="Times New Roman"/>
        </w:rPr>
        <w:t> </w:t>
      </w:r>
      <w:r>
        <w:rPr>
          <w:rFonts w:eastAsia="Times New Roman"/>
        </w:rPr>
        <w:t>jednání</w:t>
      </w:r>
      <w:r w:rsidR="00E44927">
        <w:rPr>
          <w:rFonts w:eastAsia="Times New Roman"/>
        </w:rPr>
        <w:t xml:space="preserve">, do konzultace s EK bude předložen až takový návrh </w:t>
      </w:r>
      <w:proofErr w:type="spellStart"/>
      <w:r w:rsidR="00E44927">
        <w:rPr>
          <w:rFonts w:eastAsia="Times New Roman"/>
        </w:rPr>
        <w:t>ekoplatby</w:t>
      </w:r>
      <w:proofErr w:type="spellEnd"/>
      <w:r w:rsidR="00E44927">
        <w:rPr>
          <w:rFonts w:eastAsia="Times New Roman"/>
        </w:rPr>
        <w:t>, na kterém bude obecná shoda.</w:t>
      </w:r>
      <w:r>
        <w:rPr>
          <w:rFonts w:eastAsia="Times New Roman"/>
        </w:rPr>
        <w:t xml:space="preserve"> </w:t>
      </w:r>
      <w:r w:rsidR="00E44927">
        <w:rPr>
          <w:rFonts w:eastAsia="Times New Roman"/>
        </w:rPr>
        <w:t>N</w:t>
      </w:r>
      <w:r>
        <w:rPr>
          <w:rFonts w:eastAsia="Times New Roman"/>
        </w:rPr>
        <w:t xml:space="preserve">avíc </w:t>
      </w:r>
      <w:r w:rsidR="00AD522C">
        <w:rPr>
          <w:rFonts w:eastAsia="Times New Roman"/>
        </w:rPr>
        <w:t xml:space="preserve">bude nutno </w:t>
      </w:r>
      <w:r>
        <w:rPr>
          <w:rFonts w:eastAsia="Times New Roman"/>
        </w:rPr>
        <w:t>do zelené architektury</w:t>
      </w:r>
      <w:r w:rsidR="00E44927">
        <w:rPr>
          <w:rFonts w:eastAsia="Times New Roman"/>
        </w:rPr>
        <w:t xml:space="preserve"> (ne nutně do </w:t>
      </w:r>
      <w:proofErr w:type="spellStart"/>
      <w:r w:rsidR="00E44927">
        <w:rPr>
          <w:rFonts w:eastAsia="Times New Roman"/>
        </w:rPr>
        <w:t>ekoplatby</w:t>
      </w:r>
      <w:proofErr w:type="spellEnd"/>
      <w:r w:rsidR="00E44927">
        <w:rPr>
          <w:rFonts w:eastAsia="Times New Roman"/>
        </w:rPr>
        <w:t>, možné např. do podmíněnosti)</w:t>
      </w:r>
      <w:r>
        <w:rPr>
          <w:rFonts w:eastAsia="Times New Roman"/>
        </w:rPr>
        <w:t xml:space="preserve"> promítnou</w:t>
      </w:r>
      <w:r w:rsidR="00AD522C">
        <w:rPr>
          <w:rFonts w:eastAsia="Times New Roman"/>
        </w:rPr>
        <w:t>t</w:t>
      </w:r>
      <w:r>
        <w:rPr>
          <w:rFonts w:eastAsia="Times New Roman"/>
        </w:rPr>
        <w:t xml:space="preserve"> </w:t>
      </w:r>
      <w:r w:rsidRPr="00584476">
        <w:rPr>
          <w:rFonts w:eastAsia="Times New Roman"/>
          <w:b/>
        </w:rPr>
        <w:t>závazky strategií F2F</w:t>
      </w:r>
      <w:r w:rsidR="00AD522C">
        <w:rPr>
          <w:rFonts w:eastAsia="Times New Roman"/>
          <w:b/>
        </w:rPr>
        <w:t xml:space="preserve"> </w:t>
      </w:r>
      <w:r w:rsidRPr="00584476">
        <w:rPr>
          <w:rFonts w:eastAsia="Times New Roman"/>
          <w:b/>
        </w:rPr>
        <w:t>a Biodiverzita</w:t>
      </w:r>
      <w:r>
        <w:rPr>
          <w:rFonts w:eastAsia="Times New Roman"/>
        </w:rPr>
        <w:t xml:space="preserve">, tzn. tento (i předchozí) návrh </w:t>
      </w:r>
      <w:proofErr w:type="spellStart"/>
      <w:r>
        <w:rPr>
          <w:rFonts w:eastAsia="Times New Roman"/>
        </w:rPr>
        <w:t>ekoplatby</w:t>
      </w:r>
      <w:proofErr w:type="spellEnd"/>
      <w:r>
        <w:rPr>
          <w:rFonts w:eastAsia="Times New Roman"/>
        </w:rPr>
        <w:t xml:space="preserve"> je stále otevřený pro další změny. </w:t>
      </w:r>
    </w:p>
    <w:p w:rsidR="00584476" w:rsidRPr="00584476" w:rsidRDefault="00584476" w:rsidP="00584476">
      <w:pPr>
        <w:spacing w:after="120" w:line="264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Ekoplatbu</w:t>
      </w:r>
      <w:proofErr w:type="spellEnd"/>
      <w:r>
        <w:rPr>
          <w:rFonts w:eastAsia="Times New Roman"/>
        </w:rPr>
        <w:t xml:space="preserve"> je nutné posuzovat </w:t>
      </w:r>
      <w:r w:rsidRPr="00AD522C">
        <w:rPr>
          <w:rFonts w:eastAsia="Times New Roman"/>
          <w:b/>
        </w:rPr>
        <w:t>v celém</w:t>
      </w:r>
      <w:r>
        <w:rPr>
          <w:rFonts w:eastAsia="Times New Roman"/>
        </w:rPr>
        <w:t xml:space="preserve"> </w:t>
      </w:r>
      <w:r w:rsidRPr="00584476">
        <w:rPr>
          <w:rFonts w:eastAsia="Times New Roman"/>
          <w:b/>
        </w:rPr>
        <w:t>kontextu zelené architektury</w:t>
      </w:r>
      <w:r>
        <w:rPr>
          <w:rFonts w:eastAsia="Times New Roman"/>
        </w:rPr>
        <w:t xml:space="preserve"> – včetně </w:t>
      </w:r>
      <w:r w:rsidR="00AD522C">
        <w:rPr>
          <w:rFonts w:eastAsia="Times New Roman"/>
        </w:rPr>
        <w:t>posílené</w:t>
      </w:r>
      <w:r>
        <w:rPr>
          <w:rFonts w:eastAsia="Times New Roman"/>
        </w:rPr>
        <w:t xml:space="preserve"> podmíněnosti</w:t>
      </w:r>
      <w:r w:rsidR="00FA4044">
        <w:rPr>
          <w:rFonts w:eastAsia="Times New Roman"/>
        </w:rPr>
        <w:t>,</w:t>
      </w:r>
      <w:r>
        <w:rPr>
          <w:rFonts w:eastAsia="Times New Roman"/>
        </w:rPr>
        <w:t xml:space="preserve"> navazujících AEKO v</w:t>
      </w:r>
      <w:r w:rsidR="00AD522C">
        <w:rPr>
          <w:rFonts w:eastAsia="Times New Roman"/>
        </w:rPr>
        <w:t> </w:t>
      </w:r>
      <w:proofErr w:type="spellStart"/>
      <w:proofErr w:type="gramStart"/>
      <w:r w:rsidR="00AD522C">
        <w:rPr>
          <w:rFonts w:eastAsia="Times New Roman"/>
        </w:rPr>
        <w:t>II.pilíři</w:t>
      </w:r>
      <w:proofErr w:type="spellEnd"/>
      <w:proofErr w:type="gramEnd"/>
      <w:r w:rsidR="00FA4044">
        <w:rPr>
          <w:rFonts w:eastAsia="Times New Roman"/>
        </w:rPr>
        <w:t>, Komplexních pozemkových úprav, případně dalších environmentálních podpor</w:t>
      </w:r>
      <w:r>
        <w:rPr>
          <w:rFonts w:eastAsia="Times New Roman"/>
        </w:rPr>
        <w:t xml:space="preserve">. </w:t>
      </w:r>
    </w:p>
    <w:p w:rsidR="00313902" w:rsidRDefault="00313902" w:rsidP="00313902">
      <w:pPr>
        <w:spacing w:after="120" w:line="264" w:lineRule="auto"/>
        <w:jc w:val="center"/>
        <w:rPr>
          <w:rFonts w:eastAsia="Times New Roman"/>
          <w:b/>
          <w:u w:val="single"/>
        </w:rPr>
      </w:pPr>
    </w:p>
    <w:p w:rsidR="00FC1421" w:rsidRPr="005F5D08" w:rsidRDefault="00313902" w:rsidP="005F5D08">
      <w:pPr>
        <w:spacing w:after="120" w:line="264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Obecně</w:t>
      </w:r>
      <w:r w:rsidR="00FC1421" w:rsidRPr="005F5D08">
        <w:rPr>
          <w:rFonts w:eastAsia="Times New Roman"/>
          <w:b/>
          <w:u w:val="single"/>
        </w:rPr>
        <w:t>:</w:t>
      </w:r>
    </w:p>
    <w:p w:rsidR="00FC1421" w:rsidRDefault="00FC1421" w:rsidP="000B37EA">
      <w:pPr>
        <w:spacing w:after="120" w:line="264" w:lineRule="auto"/>
        <w:jc w:val="both"/>
        <w:rPr>
          <w:rFonts w:eastAsia="Times New Roman"/>
        </w:rPr>
      </w:pPr>
      <w:r>
        <w:rPr>
          <w:rFonts w:eastAsia="Times New Roman"/>
        </w:rPr>
        <w:t>V  nové SZP</w:t>
      </w:r>
      <w:r w:rsidR="00F90955">
        <w:rPr>
          <w:rFonts w:eastAsia="Times New Roman"/>
        </w:rPr>
        <w:t>, resp. po skončení přechodného období,</w:t>
      </w:r>
      <w:r>
        <w:rPr>
          <w:rFonts w:eastAsia="Times New Roman"/>
        </w:rPr>
        <w:t xml:space="preserve"> má </w:t>
      </w:r>
      <w:proofErr w:type="spellStart"/>
      <w:r>
        <w:rPr>
          <w:rFonts w:eastAsia="Times New Roman"/>
        </w:rPr>
        <w:t>greeningová</w:t>
      </w:r>
      <w:proofErr w:type="spellEnd"/>
      <w:r>
        <w:rPr>
          <w:rFonts w:eastAsia="Times New Roman"/>
        </w:rPr>
        <w:t xml:space="preserve"> platba přejít do základních povinností podmíněnosti a má ji nahradit tzv. </w:t>
      </w:r>
      <w:proofErr w:type="spellStart"/>
      <w:r>
        <w:rPr>
          <w:rFonts w:eastAsia="Times New Roman"/>
        </w:rPr>
        <w:t>ekoplatba</w:t>
      </w:r>
      <w:proofErr w:type="spellEnd"/>
      <w:r>
        <w:rPr>
          <w:rFonts w:eastAsia="Times New Roman"/>
        </w:rPr>
        <w:t xml:space="preserve"> jako nadstavba podmíněnosti. V rámci projednávání nové SZP s nevládními organizacemi byl na podzim 2019</w:t>
      </w:r>
      <w:r>
        <w:rPr>
          <w:rFonts w:eastAsia="Times New Roman"/>
          <w:b/>
        </w:rPr>
        <w:t xml:space="preserve"> představen návrh </w:t>
      </w:r>
      <w:proofErr w:type="spellStart"/>
      <w:r>
        <w:rPr>
          <w:rFonts w:eastAsia="Times New Roman"/>
          <w:b/>
        </w:rPr>
        <w:t>ekoplatby</w:t>
      </w:r>
      <w:proofErr w:type="spellEnd"/>
      <w:r>
        <w:rPr>
          <w:rFonts w:eastAsia="Times New Roman"/>
          <w:b/>
        </w:rPr>
        <w:t xml:space="preserve"> jako soubor 12 různých opatření</w:t>
      </w:r>
      <w:r>
        <w:rPr>
          <w:rFonts w:eastAsia="Times New Roman"/>
        </w:rPr>
        <w:t xml:space="preserve">, ze kterých by si zemědělci vybírali pro ně nejvhodnější. Nicméně z navazujících diskusí s NNO i zemědělskou praxí </w:t>
      </w:r>
      <w:r>
        <w:rPr>
          <w:rFonts w:eastAsia="Times New Roman"/>
          <w:b/>
        </w:rPr>
        <w:t>vyplynuly k tomuto nastavení obavy</w:t>
      </w:r>
      <w:r w:rsidR="000B37EA">
        <w:rPr>
          <w:rFonts w:eastAsia="Times New Roman"/>
          <w:b/>
        </w:rPr>
        <w:t xml:space="preserve">, </w:t>
      </w:r>
      <w:r w:rsidR="000B37EA">
        <w:rPr>
          <w:rFonts w:eastAsia="Times New Roman"/>
        </w:rPr>
        <w:t>např. že n</w:t>
      </w:r>
      <w:r>
        <w:rPr>
          <w:rFonts w:eastAsia="Times New Roman"/>
        </w:rPr>
        <w:t>ěkterá opatření jsou cílená a velmi specifická, a tím se pro některé podniky snižuje možnost si požádat</w:t>
      </w:r>
      <w:r w:rsidR="000B37EA">
        <w:rPr>
          <w:rFonts w:eastAsia="Times New Roman"/>
        </w:rPr>
        <w:t>, nebo že n</w:t>
      </w:r>
      <w:r>
        <w:rPr>
          <w:rFonts w:eastAsia="Times New Roman"/>
        </w:rPr>
        <w:t>ěkterá opatření jsou náročná, ať už nákladově nebo technologicky, a nemusí motivovat zemědělce k</w:t>
      </w:r>
      <w:r w:rsidR="000B37EA">
        <w:rPr>
          <w:rFonts w:eastAsia="Times New Roman"/>
        </w:rPr>
        <w:t> </w:t>
      </w:r>
      <w:r>
        <w:rPr>
          <w:rFonts w:eastAsia="Times New Roman"/>
        </w:rPr>
        <w:t>plnění</w:t>
      </w:r>
      <w:r w:rsidR="000B37EA">
        <w:rPr>
          <w:rFonts w:eastAsia="Times New Roman"/>
        </w:rPr>
        <w:t>.</w:t>
      </w:r>
    </w:p>
    <w:p w:rsidR="00FC1421" w:rsidRDefault="00FC1421" w:rsidP="005F5D08">
      <w:pPr>
        <w:spacing w:after="120" w:line="264" w:lineRule="auto"/>
        <w:jc w:val="both"/>
        <w:rPr>
          <w:rFonts w:eastAsia="Times New Roman"/>
        </w:rPr>
      </w:pPr>
      <w:r>
        <w:rPr>
          <w:rFonts w:eastAsia="Times New Roman"/>
        </w:rPr>
        <w:t>K výše uvedeným připomínkám z pohledu žadatelů</w:t>
      </w:r>
      <w:r w:rsidR="000B37EA">
        <w:rPr>
          <w:rFonts w:eastAsia="Times New Roman"/>
        </w:rPr>
        <w:t xml:space="preserve"> je třeba doplnit </w:t>
      </w:r>
      <w:r>
        <w:rPr>
          <w:rFonts w:eastAsia="Times New Roman"/>
          <w:b/>
        </w:rPr>
        <w:t>administrativní aspekty</w:t>
      </w:r>
      <w:r>
        <w:rPr>
          <w:rFonts w:eastAsia="Times New Roman"/>
        </w:rPr>
        <w:t>:</w:t>
      </w:r>
    </w:p>
    <w:p w:rsidR="00FC1421" w:rsidRDefault="00FC1421" w:rsidP="005F5D08">
      <w:pPr>
        <w:pStyle w:val="Odstavecseseznamem"/>
        <w:numPr>
          <w:ilvl w:val="0"/>
          <w:numId w:val="44"/>
        </w:numPr>
        <w:spacing w:after="120" w:line="264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Ekoplatba</w:t>
      </w:r>
      <w:proofErr w:type="spellEnd"/>
      <w:r>
        <w:rPr>
          <w:rFonts w:eastAsia="Times New Roman"/>
        </w:rPr>
        <w:t xml:space="preserve"> je pouze jednoroční a jsou velmi omezené možnosti přesunu alokací mezi jednotlivými opatřeními - při nedostatku zájmu o dané opatření hrozí riziko nedočerpání a ztrátu finančních prostředků</w:t>
      </w:r>
    </w:p>
    <w:p w:rsidR="00FC1421" w:rsidRDefault="00FC1421" w:rsidP="005F5D08">
      <w:pPr>
        <w:pStyle w:val="Odstavecseseznamem"/>
        <w:numPr>
          <w:ilvl w:val="0"/>
          <w:numId w:val="44"/>
        </w:numPr>
        <w:spacing w:after="120" w:line="264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Cílením opatření oproti stávajícímu celoplošnému </w:t>
      </w:r>
      <w:proofErr w:type="spellStart"/>
      <w:r>
        <w:rPr>
          <w:rFonts w:eastAsia="Times New Roman"/>
        </w:rPr>
        <w:t>greeningu</w:t>
      </w:r>
      <w:proofErr w:type="spellEnd"/>
      <w:r>
        <w:rPr>
          <w:rFonts w:eastAsia="Times New Roman"/>
        </w:rPr>
        <w:t xml:space="preserve"> dojde k přerozdělení prostředků, které se však velmi obtížně predikuje a není tak zcela možné vyhodnotit dopady nastavení</w:t>
      </w:r>
      <w:r w:rsidR="00F90955">
        <w:rPr>
          <w:rFonts w:eastAsia="Times New Roman"/>
        </w:rPr>
        <w:t xml:space="preserve"> a zajistit řádné finanční řízení platby</w:t>
      </w:r>
      <w:r>
        <w:rPr>
          <w:rFonts w:eastAsia="Times New Roman"/>
        </w:rPr>
        <w:t>.</w:t>
      </w:r>
    </w:p>
    <w:p w:rsidR="000B37EA" w:rsidRDefault="00FC1421" w:rsidP="005F5D08">
      <w:pPr>
        <w:spacing w:after="120" w:line="264" w:lineRule="auto"/>
        <w:jc w:val="both"/>
        <w:rPr>
          <w:rFonts w:eastAsia="Times New Roman"/>
        </w:rPr>
      </w:pPr>
      <w:r>
        <w:rPr>
          <w:rFonts w:eastAsia="Times New Roman"/>
        </w:rPr>
        <w:t>S ohledem na výše uvedené by</w:t>
      </w:r>
      <w:r w:rsidR="00F90955">
        <w:rPr>
          <w:rFonts w:eastAsia="Times New Roman"/>
        </w:rPr>
        <w:t>l</w:t>
      </w:r>
      <w:r>
        <w:rPr>
          <w:rFonts w:eastAsia="Times New Roman"/>
        </w:rPr>
        <w:t xml:space="preserve"> připraven </w:t>
      </w:r>
      <w:r>
        <w:rPr>
          <w:rFonts w:eastAsia="Times New Roman"/>
          <w:b/>
        </w:rPr>
        <w:t xml:space="preserve">alternativní návrh – </w:t>
      </w:r>
      <w:proofErr w:type="spellStart"/>
      <w:r>
        <w:rPr>
          <w:rFonts w:eastAsia="Times New Roman"/>
          <w:b/>
        </w:rPr>
        <w:t>celofaremní</w:t>
      </w:r>
      <w:proofErr w:type="spellEnd"/>
      <w:r>
        <w:rPr>
          <w:rFonts w:eastAsia="Times New Roman"/>
          <w:b/>
        </w:rPr>
        <w:t xml:space="preserve"> pojetí </w:t>
      </w:r>
      <w:proofErr w:type="spellStart"/>
      <w:r>
        <w:rPr>
          <w:rFonts w:eastAsia="Times New Roman"/>
          <w:b/>
        </w:rPr>
        <w:t>ekoplatby</w:t>
      </w:r>
      <w:proofErr w:type="spellEnd"/>
      <w:r>
        <w:rPr>
          <w:rFonts w:eastAsia="Times New Roman"/>
        </w:rPr>
        <w:t xml:space="preserve">. Tento model vychází i ze stanovisek EK, podle níž může mít </w:t>
      </w:r>
      <w:proofErr w:type="spellStart"/>
      <w:r>
        <w:rPr>
          <w:rFonts w:eastAsia="Times New Roman"/>
        </w:rPr>
        <w:t>ekoplatba</w:t>
      </w:r>
      <w:proofErr w:type="spellEnd"/>
      <w:r>
        <w:rPr>
          <w:rFonts w:eastAsia="Times New Roman"/>
        </w:rPr>
        <w:t xml:space="preserve"> formu tzv. top-up k základní platbě. Je připraven tak, že </w:t>
      </w:r>
      <w:r w:rsidRPr="000B37EA">
        <w:rPr>
          <w:rFonts w:eastAsia="Times New Roman"/>
          <w:b/>
        </w:rPr>
        <w:t>pokud zemědělec naplní stanovené postupy, bude mít nárok na platbu na všechny hektary podniku</w:t>
      </w:r>
      <w:r>
        <w:rPr>
          <w:rFonts w:eastAsia="Times New Roman"/>
        </w:rPr>
        <w:t xml:space="preserve">. Jedná se tedy o nastavení podobné </w:t>
      </w:r>
      <w:proofErr w:type="spellStart"/>
      <w:r>
        <w:rPr>
          <w:rFonts w:eastAsia="Times New Roman"/>
        </w:rPr>
        <w:t>greeningu</w:t>
      </w:r>
      <w:proofErr w:type="spellEnd"/>
      <w:r>
        <w:rPr>
          <w:rFonts w:eastAsia="Times New Roman"/>
        </w:rPr>
        <w:t xml:space="preserve">, nicméně </w:t>
      </w:r>
      <w:r w:rsidRPr="000B37EA">
        <w:rPr>
          <w:rFonts w:eastAsia="Times New Roman"/>
          <w:b/>
        </w:rPr>
        <w:t>náročnější než podmíněnost</w:t>
      </w:r>
      <w:r>
        <w:rPr>
          <w:rFonts w:eastAsia="Times New Roman"/>
        </w:rPr>
        <w:t>, aby byly naplněny požadavky EU předpisů.</w:t>
      </w:r>
      <w:r w:rsidR="008F4B9E">
        <w:rPr>
          <w:rFonts w:eastAsia="Times New Roman"/>
        </w:rPr>
        <w:t xml:space="preserve"> </w:t>
      </w:r>
    </w:p>
    <w:p w:rsidR="00FC1421" w:rsidRDefault="008F4B9E" w:rsidP="005F5D08">
      <w:pPr>
        <w:spacing w:after="120" w:line="264" w:lineRule="auto"/>
        <w:jc w:val="both"/>
        <w:rPr>
          <w:rFonts w:eastAsia="Times New Roman"/>
        </w:rPr>
      </w:pPr>
      <w:r>
        <w:rPr>
          <w:rFonts w:eastAsia="Times New Roman"/>
        </w:rPr>
        <w:t>K </w:t>
      </w:r>
      <w:proofErr w:type="spellStart"/>
      <w:r>
        <w:rPr>
          <w:rFonts w:eastAsia="Times New Roman"/>
        </w:rPr>
        <w:t>celofaremnímu</w:t>
      </w:r>
      <w:proofErr w:type="spellEnd"/>
      <w:r>
        <w:rPr>
          <w:rFonts w:eastAsia="Times New Roman"/>
        </w:rPr>
        <w:t xml:space="preserve"> pojetí lze dále z I. pilíře vyčlenit samostatnou obálku na případný převod základního režimu ošetřování trvalých travních z AEKO </w:t>
      </w:r>
      <w:proofErr w:type="gramStart"/>
      <w:r>
        <w:rPr>
          <w:rFonts w:eastAsia="Times New Roman"/>
        </w:rPr>
        <w:t xml:space="preserve">do </w:t>
      </w:r>
      <w:proofErr w:type="spellStart"/>
      <w:r>
        <w:rPr>
          <w:rFonts w:eastAsia="Times New Roman"/>
        </w:rPr>
        <w:t>I.pilíře</w:t>
      </w:r>
      <w:proofErr w:type="spellEnd"/>
      <w:proofErr w:type="gramEnd"/>
      <w:r>
        <w:rPr>
          <w:rFonts w:eastAsia="Times New Roman"/>
        </w:rPr>
        <w:t>.</w:t>
      </w:r>
    </w:p>
    <w:p w:rsidR="00FC1421" w:rsidRDefault="00FC1421" w:rsidP="005F5D08">
      <w:pPr>
        <w:spacing w:after="120" w:line="264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Základní principy </w:t>
      </w:r>
      <w:proofErr w:type="spellStart"/>
      <w:r>
        <w:rPr>
          <w:rFonts w:eastAsia="Times New Roman"/>
        </w:rPr>
        <w:t>celofaremního</w:t>
      </w:r>
      <w:proofErr w:type="spellEnd"/>
      <w:r>
        <w:rPr>
          <w:rFonts w:eastAsia="Times New Roman"/>
        </w:rPr>
        <w:t xml:space="preserve"> pojetí:</w:t>
      </w:r>
    </w:p>
    <w:p w:rsidR="00FC1421" w:rsidRDefault="00FC1421" w:rsidP="005F5D08">
      <w:pPr>
        <w:pStyle w:val="Odstavecseseznamem"/>
        <w:numPr>
          <w:ilvl w:val="0"/>
          <w:numId w:val="44"/>
        </w:numPr>
        <w:spacing w:after="120" w:line="264" w:lineRule="auto"/>
        <w:jc w:val="both"/>
        <w:rPr>
          <w:rFonts w:eastAsia="Times New Roman"/>
        </w:rPr>
      </w:pPr>
      <w:r>
        <w:rPr>
          <w:rFonts w:eastAsia="Times New Roman"/>
        </w:rPr>
        <w:t>Pro jednotlivé kultury stanoveny povinnosti, které jdou nad rámec podmíněnosti</w:t>
      </w:r>
    </w:p>
    <w:p w:rsidR="00FC1421" w:rsidRDefault="00FC1421" w:rsidP="005F5D08">
      <w:pPr>
        <w:pStyle w:val="Odstavecseseznamem"/>
        <w:numPr>
          <w:ilvl w:val="0"/>
          <w:numId w:val="44"/>
        </w:numPr>
        <w:spacing w:after="120" w:line="264" w:lineRule="auto"/>
        <w:jc w:val="both"/>
        <w:rPr>
          <w:rFonts w:eastAsia="Times New Roman"/>
        </w:rPr>
      </w:pPr>
      <w:r>
        <w:rPr>
          <w:rFonts w:eastAsia="Times New Roman"/>
        </w:rPr>
        <w:t>Při splnění podmínek nárok na platbu na veškerou výměru</w:t>
      </w:r>
    </w:p>
    <w:p w:rsidR="00FC1421" w:rsidRDefault="00FC1421" w:rsidP="005F5D08">
      <w:pPr>
        <w:pStyle w:val="Odstavecseseznamem"/>
        <w:numPr>
          <w:ilvl w:val="0"/>
          <w:numId w:val="44"/>
        </w:numPr>
        <w:spacing w:after="120" w:line="264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V souladu s EU předpisy je plnění dobrovolné, nicméně </w:t>
      </w:r>
      <w:proofErr w:type="spellStart"/>
      <w:r>
        <w:rPr>
          <w:rFonts w:eastAsia="Times New Roman"/>
        </w:rPr>
        <w:t>celofaremním</w:t>
      </w:r>
      <w:proofErr w:type="spellEnd"/>
      <w:r>
        <w:rPr>
          <w:rFonts w:eastAsia="Times New Roman"/>
        </w:rPr>
        <w:t xml:space="preserve"> pojetí bude velmi motivační k plošnému využití </w:t>
      </w:r>
      <w:proofErr w:type="spellStart"/>
      <w:r>
        <w:rPr>
          <w:rFonts w:eastAsia="Times New Roman"/>
        </w:rPr>
        <w:t>ekoplatby</w:t>
      </w:r>
      <w:proofErr w:type="spellEnd"/>
    </w:p>
    <w:p w:rsidR="00FC1421" w:rsidRDefault="00FC1421" w:rsidP="005F5D08">
      <w:pPr>
        <w:pStyle w:val="Odstavecseseznamem"/>
        <w:numPr>
          <w:ilvl w:val="0"/>
          <w:numId w:val="44"/>
        </w:numPr>
        <w:spacing w:after="120" w:line="264" w:lineRule="auto"/>
        <w:jc w:val="both"/>
        <w:rPr>
          <w:rFonts w:eastAsia="Times New Roman"/>
        </w:rPr>
      </w:pPr>
      <w:r>
        <w:rPr>
          <w:rFonts w:eastAsia="Times New Roman"/>
        </w:rPr>
        <w:t>Zatím uvažováno o jednotné sazbě, případně lze zavést systém přepočtových koeficientů, pokud by to vzhledem k odlišné nákladovosti postupů bylo vhodné</w:t>
      </w:r>
    </w:p>
    <w:p w:rsidR="00313902" w:rsidRDefault="003139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2D4E32" w:rsidRPr="005F5D08" w:rsidRDefault="002D4E32" w:rsidP="005F5D08">
      <w:pPr>
        <w:spacing w:after="120" w:line="264" w:lineRule="auto"/>
        <w:jc w:val="center"/>
        <w:rPr>
          <w:rFonts w:eastAsiaTheme="minorHAnsi"/>
          <w:sz w:val="24"/>
          <w:szCs w:val="24"/>
        </w:rPr>
      </w:pPr>
      <w:r w:rsidRPr="005F5D08">
        <w:rPr>
          <w:b/>
          <w:sz w:val="24"/>
          <w:szCs w:val="24"/>
          <w:u w:val="single"/>
        </w:rPr>
        <w:t xml:space="preserve">Návrh </w:t>
      </w:r>
      <w:proofErr w:type="spellStart"/>
      <w:r w:rsidRPr="005F5D08">
        <w:rPr>
          <w:b/>
          <w:sz w:val="24"/>
          <w:szCs w:val="24"/>
          <w:u w:val="single"/>
        </w:rPr>
        <w:t>celofaremního</w:t>
      </w:r>
      <w:proofErr w:type="spellEnd"/>
      <w:r w:rsidRPr="005F5D08">
        <w:rPr>
          <w:b/>
          <w:sz w:val="24"/>
          <w:szCs w:val="24"/>
          <w:u w:val="single"/>
        </w:rPr>
        <w:t xml:space="preserve"> pojetí </w:t>
      </w:r>
      <w:proofErr w:type="spellStart"/>
      <w:r w:rsidRPr="005F5D08">
        <w:rPr>
          <w:b/>
          <w:sz w:val="24"/>
          <w:szCs w:val="24"/>
          <w:u w:val="single"/>
        </w:rPr>
        <w:t>ekoplatby</w:t>
      </w:r>
      <w:proofErr w:type="spellEnd"/>
    </w:p>
    <w:p w:rsidR="008F4B9E" w:rsidRDefault="002D4E32" w:rsidP="005F5D08">
      <w:pPr>
        <w:spacing w:after="120" w:line="264" w:lineRule="auto"/>
      </w:pPr>
      <w:r>
        <w:t xml:space="preserve">Pro </w:t>
      </w:r>
      <w:proofErr w:type="spellStart"/>
      <w:r>
        <w:t>ekoplatbu</w:t>
      </w:r>
      <w:proofErr w:type="spellEnd"/>
      <w:r>
        <w:t xml:space="preserve"> na celou výměru podniku je nutné splnit všechny následující postupy:</w:t>
      </w:r>
    </w:p>
    <w:p w:rsidR="002D4E32" w:rsidRPr="002D4E32" w:rsidRDefault="002D4E32" w:rsidP="005F5D08">
      <w:pPr>
        <w:spacing w:after="120" w:line="264" w:lineRule="auto"/>
      </w:pPr>
      <w:r w:rsidRPr="008F4B9E">
        <w:rPr>
          <w:b/>
          <w:u w:val="single"/>
        </w:rPr>
        <w:t>pro kulturu trvalé travní porosty (T) a orná půda-travní porost (G)</w:t>
      </w:r>
      <w:r w:rsidRPr="008F4B9E">
        <w:rPr>
          <w:u w:val="single"/>
        </w:rPr>
        <w:t>:</w:t>
      </w:r>
    </w:p>
    <w:p w:rsidR="008F4B9E" w:rsidRDefault="002D4E32" w:rsidP="005F5D08">
      <w:pPr>
        <w:spacing w:after="120" w:line="264" w:lineRule="auto"/>
        <w:jc w:val="both"/>
      </w:pPr>
      <w:r>
        <w:t xml:space="preserve">Podmínka </w:t>
      </w:r>
      <w:r w:rsidR="008C7A00">
        <w:t>provádě</w:t>
      </w:r>
      <w:r w:rsidR="00B236CE">
        <w:t>ní</w:t>
      </w:r>
      <w:r w:rsidR="008C7A00">
        <w:t xml:space="preserve"> seč</w:t>
      </w:r>
      <w:r w:rsidR="00B236CE">
        <w:t>e</w:t>
      </w:r>
      <w:r w:rsidR="008C7A00">
        <w:t xml:space="preserve"> nebo pastv</w:t>
      </w:r>
      <w:r w:rsidR="00B236CE">
        <w:t>y</w:t>
      </w:r>
      <w:r w:rsidR="005F5D08">
        <w:t xml:space="preserve"> a zákaz přeměny kultury:</w:t>
      </w:r>
    </w:p>
    <w:p w:rsidR="008F4B9E" w:rsidRDefault="008F4B9E" w:rsidP="005F5D08">
      <w:pPr>
        <w:pStyle w:val="Odstavecseseznamem"/>
        <w:numPr>
          <w:ilvl w:val="0"/>
          <w:numId w:val="44"/>
        </w:numPr>
        <w:spacing w:after="120" w:line="264" w:lineRule="auto"/>
        <w:jc w:val="both"/>
      </w:pPr>
      <w:r w:rsidRPr="008F4B9E">
        <w:rPr>
          <w:u w:val="single"/>
        </w:rPr>
        <w:t>Provádění seče nebo pastvy</w:t>
      </w:r>
      <w:r>
        <w:t xml:space="preserve"> </w:t>
      </w:r>
      <w:r w:rsidR="00F90955">
        <w:t>na kulturách T a G</w:t>
      </w:r>
      <w:r>
        <w:t xml:space="preserve"> v termínu do 31. 7. (mulčování je pouze doplňková operace). V oblastech Natura 2000</w:t>
      </w:r>
      <w:r w:rsidR="005F5D08">
        <w:t xml:space="preserve"> a na kultuře G</w:t>
      </w:r>
      <w:r>
        <w:t xml:space="preserve"> zákaz mulčování. </w:t>
      </w:r>
    </w:p>
    <w:p w:rsidR="002D4E32" w:rsidRDefault="008F4B9E" w:rsidP="005F5D08">
      <w:pPr>
        <w:pStyle w:val="Odstavecseseznamem"/>
        <w:numPr>
          <w:ilvl w:val="0"/>
          <w:numId w:val="44"/>
        </w:numPr>
        <w:spacing w:after="120" w:line="264" w:lineRule="auto"/>
        <w:jc w:val="both"/>
      </w:pPr>
      <w:r w:rsidRPr="008F4B9E">
        <w:rPr>
          <w:u w:val="single"/>
        </w:rPr>
        <w:t>Z</w:t>
      </w:r>
      <w:r w:rsidR="00B236CE" w:rsidRPr="008F4B9E">
        <w:rPr>
          <w:u w:val="single"/>
        </w:rPr>
        <w:t>ákaz přeměny</w:t>
      </w:r>
      <w:r w:rsidR="002D4E32" w:rsidRPr="008F4B9E">
        <w:rPr>
          <w:u w:val="single"/>
        </w:rPr>
        <w:t xml:space="preserve"> ví</w:t>
      </w:r>
      <w:r w:rsidR="00F90955" w:rsidRPr="008F4B9E">
        <w:rPr>
          <w:u w:val="single"/>
        </w:rPr>
        <w:t>ce než 1 % plochy s kulturou T</w:t>
      </w:r>
      <w:r w:rsidR="002D4E32">
        <w:t xml:space="preserve"> v období od 1. 1. do 31. 12. roku podání žádosti</w:t>
      </w:r>
      <w:r w:rsidR="00B236CE">
        <w:t xml:space="preserve"> na jinou kulturu</w:t>
      </w:r>
      <w:r w:rsidR="002D4E32">
        <w:t xml:space="preserve">, s výjimkou přeměny na trvalé kultury včetně </w:t>
      </w:r>
      <w:r w:rsidR="00F90955">
        <w:t>krajinotvorných sadů</w:t>
      </w:r>
      <w:r w:rsidR="00F90955" w:rsidRPr="00F90955">
        <w:t xml:space="preserve"> </w:t>
      </w:r>
      <w:r w:rsidR="00F90955">
        <w:t>s kulturou J</w:t>
      </w:r>
      <w:r w:rsidR="002D4E32">
        <w:t>, zalesněné plochy a krajinné prvky, plochu v režimu agrolesnictví (</w:t>
      </w:r>
      <w:proofErr w:type="spellStart"/>
      <w:r w:rsidR="002D4E32">
        <w:t>silvo</w:t>
      </w:r>
      <w:proofErr w:type="spellEnd"/>
      <w:r w:rsidR="002D4E32">
        <w:t xml:space="preserve"> pastorální systémy). </w:t>
      </w:r>
    </w:p>
    <w:p w:rsidR="002D4E32" w:rsidRPr="008C7A00" w:rsidRDefault="008C7A00" w:rsidP="005F5D08">
      <w:pPr>
        <w:spacing w:after="0" w:line="264" w:lineRule="auto"/>
        <w:ind w:firstLine="708"/>
        <w:jc w:val="both"/>
        <w:rPr>
          <w:sz w:val="20"/>
          <w:szCs w:val="20"/>
        </w:rPr>
      </w:pPr>
      <w:r w:rsidRPr="008C7A00">
        <w:rPr>
          <w:sz w:val="20"/>
          <w:szCs w:val="20"/>
        </w:rPr>
        <w:t xml:space="preserve">Pozn. </w:t>
      </w:r>
      <w:r w:rsidR="002D4E32" w:rsidRPr="008C7A00">
        <w:rPr>
          <w:sz w:val="20"/>
          <w:szCs w:val="20"/>
        </w:rPr>
        <w:t>Jednoprocentní možnost přeměny se nevztahuje na plochy:</w:t>
      </w:r>
    </w:p>
    <w:p w:rsidR="002D4E32" w:rsidRPr="008C7A00" w:rsidRDefault="002D4E32" w:rsidP="005F5D08">
      <w:pPr>
        <w:pStyle w:val="Odstavecseseznamem"/>
        <w:numPr>
          <w:ilvl w:val="0"/>
          <w:numId w:val="46"/>
        </w:numPr>
        <w:spacing w:after="0" w:line="264" w:lineRule="auto"/>
        <w:jc w:val="both"/>
        <w:rPr>
          <w:sz w:val="20"/>
          <w:szCs w:val="20"/>
        </w:rPr>
      </w:pPr>
      <w:r w:rsidRPr="008C7A00">
        <w:rPr>
          <w:sz w:val="20"/>
          <w:szCs w:val="20"/>
        </w:rPr>
        <w:t xml:space="preserve">v 1. zóně chráněných krajinných oblastí mimo oblasti Natura </w:t>
      </w:r>
      <w:r w:rsidR="008F4B9E">
        <w:rPr>
          <w:sz w:val="20"/>
          <w:szCs w:val="20"/>
        </w:rPr>
        <w:t xml:space="preserve">2000, a </w:t>
      </w:r>
      <w:r w:rsidRPr="008C7A00">
        <w:rPr>
          <w:sz w:val="20"/>
          <w:szCs w:val="20"/>
        </w:rPr>
        <w:t xml:space="preserve">dále v </w:t>
      </w:r>
      <w:r w:rsidR="008F4B9E">
        <w:rPr>
          <w:sz w:val="20"/>
          <w:szCs w:val="20"/>
        </w:rPr>
        <w:t>(</w:t>
      </w:r>
      <w:r w:rsidRPr="008C7A00">
        <w:rPr>
          <w:sz w:val="20"/>
          <w:szCs w:val="20"/>
        </w:rPr>
        <w:t>národních</w:t>
      </w:r>
      <w:r w:rsidR="008F4B9E">
        <w:rPr>
          <w:sz w:val="20"/>
          <w:szCs w:val="20"/>
        </w:rPr>
        <w:t>)</w:t>
      </w:r>
      <w:r w:rsidRPr="008C7A00">
        <w:rPr>
          <w:sz w:val="20"/>
          <w:szCs w:val="20"/>
        </w:rPr>
        <w:t xml:space="preserve"> přírodních památkách</w:t>
      </w:r>
      <w:r w:rsidR="008F4B9E">
        <w:rPr>
          <w:sz w:val="20"/>
          <w:szCs w:val="20"/>
        </w:rPr>
        <w:t xml:space="preserve"> a</w:t>
      </w:r>
      <w:r w:rsidRPr="008C7A00">
        <w:rPr>
          <w:sz w:val="20"/>
          <w:szCs w:val="20"/>
        </w:rPr>
        <w:t xml:space="preserve"> rezervacích</w:t>
      </w:r>
      <w:r w:rsidR="00F90955">
        <w:rPr>
          <w:sz w:val="20"/>
          <w:szCs w:val="20"/>
        </w:rPr>
        <w:t xml:space="preserve"> </w:t>
      </w:r>
      <w:r w:rsidRPr="008C7A00">
        <w:rPr>
          <w:sz w:val="20"/>
          <w:szCs w:val="20"/>
        </w:rPr>
        <w:t>mimo oblasti Natura 2000,</w:t>
      </w:r>
    </w:p>
    <w:p w:rsidR="002D4E32" w:rsidRPr="008C7A00" w:rsidRDefault="002D4E32" w:rsidP="005F5D08">
      <w:pPr>
        <w:pStyle w:val="Odstavecseseznamem"/>
        <w:numPr>
          <w:ilvl w:val="0"/>
          <w:numId w:val="46"/>
        </w:numPr>
        <w:spacing w:after="120" w:line="264" w:lineRule="auto"/>
        <w:jc w:val="both"/>
        <w:rPr>
          <w:sz w:val="20"/>
          <w:szCs w:val="20"/>
        </w:rPr>
      </w:pPr>
      <w:r w:rsidRPr="008C7A00">
        <w:rPr>
          <w:sz w:val="20"/>
          <w:szCs w:val="20"/>
        </w:rPr>
        <w:t xml:space="preserve">ve vzdálenosti do 12 m od vodního útvaru </w:t>
      </w:r>
    </w:p>
    <w:p w:rsidR="002D4E32" w:rsidRPr="008C7A00" w:rsidRDefault="002D4E32" w:rsidP="005F5D08">
      <w:pPr>
        <w:pStyle w:val="Odstavecseseznamem"/>
        <w:numPr>
          <w:ilvl w:val="0"/>
          <w:numId w:val="46"/>
        </w:numPr>
        <w:spacing w:after="120" w:line="264" w:lineRule="auto"/>
        <w:jc w:val="both"/>
        <w:rPr>
          <w:sz w:val="20"/>
          <w:szCs w:val="20"/>
        </w:rPr>
      </w:pPr>
      <w:r w:rsidRPr="008C7A00">
        <w:rPr>
          <w:sz w:val="20"/>
          <w:szCs w:val="20"/>
        </w:rPr>
        <w:t xml:space="preserve">na plochách silně erozně ohrožených, </w:t>
      </w:r>
    </w:p>
    <w:p w:rsidR="002D4E32" w:rsidRDefault="002D4E32" w:rsidP="005F5D08">
      <w:pPr>
        <w:pStyle w:val="Odstavecseseznamem"/>
        <w:numPr>
          <w:ilvl w:val="0"/>
          <w:numId w:val="46"/>
        </w:numPr>
        <w:spacing w:after="120" w:line="264" w:lineRule="auto"/>
        <w:jc w:val="both"/>
        <w:rPr>
          <w:sz w:val="20"/>
          <w:szCs w:val="20"/>
        </w:rPr>
      </w:pPr>
      <w:r w:rsidRPr="008C7A00">
        <w:rPr>
          <w:sz w:val="20"/>
          <w:szCs w:val="20"/>
        </w:rPr>
        <w:t xml:space="preserve">vymezené jako podmáčené a rašelinné louky. </w:t>
      </w:r>
    </w:p>
    <w:p w:rsidR="002D4E32" w:rsidRDefault="002D4E32" w:rsidP="005F5D08">
      <w:pPr>
        <w:spacing w:after="120" w:line="264" w:lineRule="auto"/>
        <w:rPr>
          <w:u w:val="single"/>
        </w:rPr>
      </w:pPr>
      <w:r w:rsidRPr="008F4B9E">
        <w:rPr>
          <w:b/>
          <w:u w:val="single"/>
        </w:rPr>
        <w:t>pro kulturu standardní orná půda (R)</w:t>
      </w:r>
      <w:r>
        <w:rPr>
          <w:u w:val="single"/>
        </w:rPr>
        <w:t>:</w:t>
      </w:r>
    </w:p>
    <w:p w:rsidR="002D4E32" w:rsidRDefault="002D4E32" w:rsidP="005F5D08">
      <w:pPr>
        <w:spacing w:after="120" w:line="264" w:lineRule="auto"/>
        <w:jc w:val="both"/>
      </w:pPr>
      <w:r>
        <w:t xml:space="preserve">Podmínka diverzifikace plodin a navýšení organické hmoty v půdě </w:t>
      </w:r>
    </w:p>
    <w:p w:rsidR="002D4E32" w:rsidRDefault="002D4E32" w:rsidP="005F5D08">
      <w:pPr>
        <w:pStyle w:val="Odstavecseseznamem"/>
        <w:numPr>
          <w:ilvl w:val="0"/>
          <w:numId w:val="44"/>
        </w:numPr>
        <w:spacing w:after="120" w:line="264" w:lineRule="auto"/>
        <w:jc w:val="both"/>
      </w:pPr>
      <w:r w:rsidRPr="005F5D08">
        <w:rPr>
          <w:u w:val="single"/>
        </w:rPr>
        <w:t>Diverzifikace</w:t>
      </w:r>
      <w:r>
        <w:t xml:space="preserve"> od 10 ha do 30 ha minimálně 2 plodiny, nad 30 ha minimálně 3 plodiny </w:t>
      </w:r>
    </w:p>
    <w:p w:rsidR="00313902" w:rsidRDefault="002D4E32" w:rsidP="005F5D08">
      <w:pPr>
        <w:pStyle w:val="Odstavecseseznamem"/>
        <w:numPr>
          <w:ilvl w:val="0"/>
          <w:numId w:val="44"/>
        </w:numPr>
        <w:spacing w:after="120" w:line="264" w:lineRule="auto"/>
        <w:jc w:val="both"/>
      </w:pPr>
      <w:r w:rsidRPr="005F5D08">
        <w:rPr>
          <w:u w:val="single"/>
        </w:rPr>
        <w:t>Navýšení organické hmoty v</w:t>
      </w:r>
      <w:r w:rsidR="00313902">
        <w:rPr>
          <w:u w:val="single"/>
        </w:rPr>
        <w:t> </w:t>
      </w:r>
      <w:r w:rsidRPr="005F5D08">
        <w:rPr>
          <w:u w:val="single"/>
        </w:rPr>
        <w:t>půdě</w:t>
      </w:r>
      <w:r w:rsidR="00313902" w:rsidRPr="00313902">
        <w:t xml:space="preserve"> </w:t>
      </w:r>
      <w:r w:rsidR="00313902">
        <w:t>na min. výměře 30 % orné půdy:</w:t>
      </w:r>
      <w:r>
        <w:t xml:space="preserve"> </w:t>
      </w:r>
    </w:p>
    <w:p w:rsidR="00313902" w:rsidRDefault="002D4E32" w:rsidP="00313902">
      <w:pPr>
        <w:pStyle w:val="Odstavecseseznamem"/>
        <w:numPr>
          <w:ilvl w:val="1"/>
          <w:numId w:val="44"/>
        </w:numPr>
        <w:spacing w:after="120" w:line="264" w:lineRule="auto"/>
        <w:jc w:val="both"/>
      </w:pPr>
      <w:r>
        <w:t xml:space="preserve">aplikace tuhých statkových </w:t>
      </w:r>
      <w:r w:rsidR="00313902">
        <w:t xml:space="preserve">(s výjimkou hnojiv z chovu drůbeže) </w:t>
      </w:r>
      <w:r>
        <w:t xml:space="preserve">nebo tuhých organických hnojiv v minimální dávce 25 t/ha, </w:t>
      </w:r>
    </w:p>
    <w:p w:rsidR="00313902" w:rsidRDefault="002D4E32" w:rsidP="00313902">
      <w:pPr>
        <w:pStyle w:val="Odstavecseseznamem"/>
        <w:numPr>
          <w:ilvl w:val="1"/>
          <w:numId w:val="44"/>
        </w:numPr>
        <w:spacing w:after="120" w:line="264" w:lineRule="auto"/>
        <w:jc w:val="both"/>
      </w:pPr>
      <w:r>
        <w:t xml:space="preserve">nebo zařazení plodin na zelené hnojení </w:t>
      </w:r>
      <w:r w:rsidR="00313902">
        <w:t>s minimálním trváním porostu po dobu 8 týdnů</w:t>
      </w:r>
      <w:r w:rsidR="000B37EA">
        <w:t xml:space="preserve"> a</w:t>
      </w:r>
      <w:r>
        <w:t xml:space="preserve"> zapravením</w:t>
      </w:r>
      <w:r w:rsidR="00313902">
        <w:t xml:space="preserve">, </w:t>
      </w:r>
      <w:r>
        <w:t>porost pouze ze stanovených plodin</w:t>
      </w:r>
    </w:p>
    <w:p w:rsidR="002D4E32" w:rsidRDefault="00313902" w:rsidP="005F5D08">
      <w:pPr>
        <w:spacing w:after="120" w:line="264" w:lineRule="auto"/>
        <w:ind w:left="708" w:firstLine="12"/>
        <w:jc w:val="both"/>
      </w:pPr>
      <w:r>
        <w:rPr>
          <w:sz w:val="20"/>
          <w:szCs w:val="20"/>
        </w:rPr>
        <w:t>(</w:t>
      </w:r>
      <w:r w:rsidRPr="00313902">
        <w:rPr>
          <w:sz w:val="20"/>
          <w:szCs w:val="20"/>
        </w:rPr>
        <w:t xml:space="preserve">např. </w:t>
      </w:r>
      <w:r w:rsidR="002D4E32" w:rsidRPr="00313902">
        <w:rPr>
          <w:sz w:val="20"/>
          <w:szCs w:val="20"/>
        </w:rPr>
        <w:t>cizrna, čočka, fazol, hrách, peluška, jetel, komonice, lupina, sója, štírovník, vojtěška, úročník vikev, bob vičenec, čičorka, hrachor, jestřabina, kozinec, pískavice, ptačí noha, tolice, popřípadě jejich směsi včetně směsí s travami včetně založení jako podsevy do krycí plodiny a podsevy trav)</w:t>
      </w:r>
      <w:r w:rsidR="002D4E32">
        <w:t xml:space="preserve"> </w:t>
      </w:r>
    </w:p>
    <w:p w:rsidR="002D4E32" w:rsidRPr="008C7A00" w:rsidRDefault="008C7A00" w:rsidP="005F5D08">
      <w:pPr>
        <w:pStyle w:val="Odstavecseseznamem"/>
        <w:spacing w:after="120"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Pozn. </w:t>
      </w:r>
      <w:r w:rsidR="002D4E32" w:rsidRPr="008C7A00">
        <w:rPr>
          <w:sz w:val="20"/>
          <w:szCs w:val="20"/>
        </w:rPr>
        <w:t>Tuhým statkovým hnojivem: je hnojivo s obsahem sušiny nad 13 %, vznikající jako vedlejší produkt při chovu hospodářských zvířat nebo produkt při pěstování kulturních rostlin, není-li dále upravováno; za úpravu se nepovažují přirozené procesy přeměn při skladování, mechanická separace kejdy a přidávání látek snižujících ztráty živin nebo zlepšujících účinnost živin – hnůj, separát kejdy</w:t>
      </w:r>
    </w:p>
    <w:p w:rsidR="002D4E32" w:rsidRPr="008C7A00" w:rsidRDefault="002D4E32" w:rsidP="005F5D08">
      <w:pPr>
        <w:pStyle w:val="Odstavecseseznamem"/>
        <w:spacing w:after="120" w:line="264" w:lineRule="auto"/>
        <w:jc w:val="both"/>
        <w:rPr>
          <w:sz w:val="20"/>
          <w:szCs w:val="20"/>
        </w:rPr>
      </w:pPr>
      <w:r w:rsidRPr="008C7A00">
        <w:rPr>
          <w:sz w:val="20"/>
          <w:szCs w:val="20"/>
        </w:rPr>
        <w:t>Tuhým organickým hnojivem: je hnojivo s obsahem sušiny nad 13 %, v němž jsou deklarované živiny obsaženy v organické formě – kompost, separát</w:t>
      </w:r>
      <w:r w:rsidR="00313902">
        <w:rPr>
          <w:sz w:val="20"/>
          <w:szCs w:val="20"/>
        </w:rPr>
        <w:t xml:space="preserve"> </w:t>
      </w:r>
      <w:proofErr w:type="spellStart"/>
      <w:r w:rsidR="00313902">
        <w:rPr>
          <w:sz w:val="20"/>
          <w:szCs w:val="20"/>
        </w:rPr>
        <w:t>digestátu</w:t>
      </w:r>
      <w:proofErr w:type="spellEnd"/>
      <w:r w:rsidRPr="008C7A00">
        <w:rPr>
          <w:sz w:val="20"/>
          <w:szCs w:val="20"/>
        </w:rPr>
        <w:t xml:space="preserve">, tuhý </w:t>
      </w:r>
      <w:proofErr w:type="spellStart"/>
      <w:r w:rsidRPr="008C7A00">
        <w:rPr>
          <w:sz w:val="20"/>
          <w:szCs w:val="20"/>
        </w:rPr>
        <w:t>digestát</w:t>
      </w:r>
      <w:proofErr w:type="spellEnd"/>
      <w:r w:rsidRPr="008C7A00">
        <w:rPr>
          <w:sz w:val="20"/>
          <w:szCs w:val="20"/>
        </w:rPr>
        <w:t xml:space="preserve"> (z kontejnerových BPS).</w:t>
      </w:r>
    </w:p>
    <w:p w:rsidR="002D4E32" w:rsidRDefault="002D4E32" w:rsidP="005F5D08">
      <w:pPr>
        <w:spacing w:after="120" w:line="264" w:lineRule="auto"/>
        <w:rPr>
          <w:u w:val="single"/>
        </w:rPr>
      </w:pPr>
      <w:r w:rsidRPr="008F4B9E">
        <w:rPr>
          <w:b/>
          <w:u w:val="single"/>
        </w:rPr>
        <w:t>pro kulturu úhor (U)</w:t>
      </w:r>
      <w:r>
        <w:rPr>
          <w:u w:val="single"/>
        </w:rPr>
        <w:t xml:space="preserve">: </w:t>
      </w:r>
    </w:p>
    <w:p w:rsidR="002D4E32" w:rsidRDefault="002D4E32" w:rsidP="005F5D08">
      <w:pPr>
        <w:spacing w:after="120" w:line="264" w:lineRule="auto"/>
        <w:ind w:firstLine="708"/>
        <w:jc w:val="both"/>
      </w:pPr>
      <w:r>
        <w:t>Podmínka udržování úhoru bez aplikace hnojiv a POR - minimální doba údržby úhoru od 1. 1. do 1.8, porost pouze ze stanovených plodin (</w:t>
      </w:r>
      <w:r w:rsidR="00313902">
        <w:t xml:space="preserve">např. </w:t>
      </w:r>
      <w:r>
        <w:t xml:space="preserve">čičorka, hořčice, jestřabina, jetel, jitrocel, kmín, komonice kopr, koriandr, kozinec, </w:t>
      </w:r>
      <w:proofErr w:type="spellStart"/>
      <w:r>
        <w:t>krambe</w:t>
      </w:r>
      <w:proofErr w:type="spellEnd"/>
      <w:r>
        <w:t xml:space="preserve">, len, lnička, lupina, mastňák, mrkev, pastinák, pohanka, ředkev, řeřicha, sléz, slunečnice, svazenka, světlice, štírovník, tolice úročník, vičenec, vikev, tráva čeledi </w:t>
      </w:r>
      <w:proofErr w:type="spellStart"/>
      <w:r>
        <w:t>lipnicovité</w:t>
      </w:r>
      <w:proofErr w:type="spellEnd"/>
      <w:r>
        <w:t xml:space="preserve"> s výjimkou obilnin) </w:t>
      </w:r>
    </w:p>
    <w:p w:rsidR="002D4E32" w:rsidRPr="005F5D08" w:rsidRDefault="002D4E32" w:rsidP="005F5D08">
      <w:pPr>
        <w:spacing w:after="120" w:line="264" w:lineRule="auto"/>
        <w:rPr>
          <w:b/>
          <w:u w:val="single"/>
        </w:rPr>
      </w:pPr>
      <w:r w:rsidRPr="005F5D08">
        <w:rPr>
          <w:b/>
          <w:u w:val="single"/>
        </w:rPr>
        <w:t>pro trvalé kultury (S, V, C</w:t>
      </w:r>
      <w:r w:rsidR="005F5D08">
        <w:rPr>
          <w:b/>
          <w:u w:val="single"/>
        </w:rPr>
        <w:t xml:space="preserve"> a krajinotvorné sady s kulturou J</w:t>
      </w:r>
      <w:r w:rsidRPr="005F5D08">
        <w:rPr>
          <w:b/>
          <w:u w:val="single"/>
        </w:rPr>
        <w:t>):</w:t>
      </w:r>
    </w:p>
    <w:p w:rsidR="005A70AB" w:rsidRPr="00FC1421" w:rsidRDefault="002D4E32" w:rsidP="005F5D08">
      <w:pPr>
        <w:spacing w:after="120" w:line="264" w:lineRule="auto"/>
        <w:ind w:firstLine="708"/>
        <w:jc w:val="both"/>
        <w:rPr>
          <w:rFonts w:eastAsia="Times New Roman"/>
        </w:rPr>
      </w:pPr>
      <w:r>
        <w:t xml:space="preserve">Podmínka: udržování </w:t>
      </w:r>
      <w:proofErr w:type="spellStart"/>
      <w:r>
        <w:t>meziřadí</w:t>
      </w:r>
      <w:proofErr w:type="spellEnd"/>
      <w:r>
        <w:t xml:space="preserve"> a manipulačních prostor ve stanoveném termínu mechanicky bez použití herbicidu (např. mulčování nebo jiná mechanická údržba) a zajištění pokryvnosti </w:t>
      </w:r>
      <w:proofErr w:type="spellStart"/>
      <w:r>
        <w:t>meziřadí</w:t>
      </w:r>
      <w:proofErr w:type="spellEnd"/>
      <w:r>
        <w:t>.</w:t>
      </w:r>
    </w:p>
    <w:sectPr w:rsidR="005A70AB" w:rsidRPr="00FC1421" w:rsidSect="005F5D08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A51"/>
    <w:multiLevelType w:val="multilevel"/>
    <w:tmpl w:val="48E04A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97C1C93"/>
    <w:multiLevelType w:val="multilevel"/>
    <w:tmpl w:val="E0AE33C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9A232C0"/>
    <w:multiLevelType w:val="multilevel"/>
    <w:tmpl w:val="77B4BDE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BA44B78"/>
    <w:multiLevelType w:val="multilevel"/>
    <w:tmpl w:val="08D053B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44D0741"/>
    <w:multiLevelType w:val="multilevel"/>
    <w:tmpl w:val="D29058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5F47488"/>
    <w:multiLevelType w:val="multilevel"/>
    <w:tmpl w:val="CDD058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60913AB"/>
    <w:multiLevelType w:val="multilevel"/>
    <w:tmpl w:val="83FE15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CC0243D"/>
    <w:multiLevelType w:val="multilevel"/>
    <w:tmpl w:val="D4987C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21BE23A0"/>
    <w:multiLevelType w:val="multilevel"/>
    <w:tmpl w:val="C0109C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1FA3623"/>
    <w:multiLevelType w:val="multilevel"/>
    <w:tmpl w:val="345618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4103C89"/>
    <w:multiLevelType w:val="multilevel"/>
    <w:tmpl w:val="047A1B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5EC12F1"/>
    <w:multiLevelType w:val="multilevel"/>
    <w:tmpl w:val="B44C47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9D92797"/>
    <w:multiLevelType w:val="multilevel"/>
    <w:tmpl w:val="2D66FE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BE51A65"/>
    <w:multiLevelType w:val="multilevel"/>
    <w:tmpl w:val="9FBA0B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00600CA"/>
    <w:multiLevelType w:val="multilevel"/>
    <w:tmpl w:val="C6A40B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19854DB"/>
    <w:multiLevelType w:val="multilevel"/>
    <w:tmpl w:val="2834B81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35618BC"/>
    <w:multiLevelType w:val="multilevel"/>
    <w:tmpl w:val="13AE727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4294F45"/>
    <w:multiLevelType w:val="multilevel"/>
    <w:tmpl w:val="AC92E0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 w15:restartNumberingAfterBreak="0">
    <w:nsid w:val="34E204FF"/>
    <w:multiLevelType w:val="multilevel"/>
    <w:tmpl w:val="9FCE2E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3C2D4D49"/>
    <w:multiLevelType w:val="multilevel"/>
    <w:tmpl w:val="4EEC12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 w15:restartNumberingAfterBreak="0">
    <w:nsid w:val="3E5A4012"/>
    <w:multiLevelType w:val="multilevel"/>
    <w:tmpl w:val="4FAAA4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0302C40"/>
    <w:multiLevelType w:val="multilevel"/>
    <w:tmpl w:val="A322F5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1A34E0F"/>
    <w:multiLevelType w:val="multilevel"/>
    <w:tmpl w:val="A67457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 w15:restartNumberingAfterBreak="0">
    <w:nsid w:val="424C0E3C"/>
    <w:multiLevelType w:val="multilevel"/>
    <w:tmpl w:val="B020451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44663646"/>
    <w:multiLevelType w:val="multilevel"/>
    <w:tmpl w:val="96C0C1A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4A9A34F9"/>
    <w:multiLevelType w:val="multilevel"/>
    <w:tmpl w:val="F5CAE5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4B7E680E"/>
    <w:multiLevelType w:val="multilevel"/>
    <w:tmpl w:val="5148D0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55F72B3A"/>
    <w:multiLevelType w:val="multilevel"/>
    <w:tmpl w:val="007E49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560E1122"/>
    <w:multiLevelType w:val="multilevel"/>
    <w:tmpl w:val="092E70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9" w15:restartNumberingAfterBreak="0">
    <w:nsid w:val="5726091A"/>
    <w:multiLevelType w:val="multilevel"/>
    <w:tmpl w:val="D02CD9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 w15:restartNumberingAfterBreak="0">
    <w:nsid w:val="58700DEC"/>
    <w:multiLevelType w:val="multilevel"/>
    <w:tmpl w:val="7C8811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99A401E"/>
    <w:multiLevelType w:val="hybridMultilevel"/>
    <w:tmpl w:val="A9489F5E"/>
    <w:lvl w:ilvl="0" w:tplc="046858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357B5"/>
    <w:multiLevelType w:val="multilevel"/>
    <w:tmpl w:val="ECDA12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5EA93C02"/>
    <w:multiLevelType w:val="multilevel"/>
    <w:tmpl w:val="D6BC9B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0C93E7B"/>
    <w:multiLevelType w:val="multilevel"/>
    <w:tmpl w:val="7CECF6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64544798"/>
    <w:multiLevelType w:val="multilevel"/>
    <w:tmpl w:val="CF7689C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6" w15:restartNumberingAfterBreak="0">
    <w:nsid w:val="66C27B3E"/>
    <w:multiLevelType w:val="multilevel"/>
    <w:tmpl w:val="8AEE388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6ABA2A07"/>
    <w:multiLevelType w:val="hybridMultilevel"/>
    <w:tmpl w:val="12DCE018"/>
    <w:lvl w:ilvl="0" w:tplc="64C44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D0313"/>
    <w:multiLevelType w:val="multilevel"/>
    <w:tmpl w:val="1DA0FB0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 w15:restartNumberingAfterBreak="0">
    <w:nsid w:val="6C3034DB"/>
    <w:multiLevelType w:val="multilevel"/>
    <w:tmpl w:val="CA42E2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 w15:restartNumberingAfterBreak="0">
    <w:nsid w:val="6D2439EB"/>
    <w:multiLevelType w:val="multilevel"/>
    <w:tmpl w:val="7C424E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6DF75F3E"/>
    <w:multiLevelType w:val="multilevel"/>
    <w:tmpl w:val="155E19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 w15:restartNumberingAfterBreak="0">
    <w:nsid w:val="76A15551"/>
    <w:multiLevelType w:val="multilevel"/>
    <w:tmpl w:val="A45A8D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7A363531"/>
    <w:multiLevelType w:val="multilevel"/>
    <w:tmpl w:val="9B70AE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4" w15:restartNumberingAfterBreak="0">
    <w:nsid w:val="7B971211"/>
    <w:multiLevelType w:val="hybridMultilevel"/>
    <w:tmpl w:val="CC205C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2"/>
  </w:num>
  <w:num w:numId="4">
    <w:abstractNumId w:val="10"/>
  </w:num>
  <w:num w:numId="5">
    <w:abstractNumId w:val="24"/>
  </w:num>
  <w:num w:numId="6">
    <w:abstractNumId w:val="19"/>
  </w:num>
  <w:num w:numId="7">
    <w:abstractNumId w:val="26"/>
  </w:num>
  <w:num w:numId="8">
    <w:abstractNumId w:val="2"/>
  </w:num>
  <w:num w:numId="9">
    <w:abstractNumId w:val="15"/>
  </w:num>
  <w:num w:numId="10">
    <w:abstractNumId w:val="1"/>
  </w:num>
  <w:num w:numId="11">
    <w:abstractNumId w:val="25"/>
  </w:num>
  <w:num w:numId="12">
    <w:abstractNumId w:val="39"/>
  </w:num>
  <w:num w:numId="13">
    <w:abstractNumId w:val="30"/>
  </w:num>
  <w:num w:numId="14">
    <w:abstractNumId w:val="20"/>
  </w:num>
  <w:num w:numId="15">
    <w:abstractNumId w:val="38"/>
  </w:num>
  <w:num w:numId="16">
    <w:abstractNumId w:val="28"/>
  </w:num>
  <w:num w:numId="17">
    <w:abstractNumId w:val="27"/>
  </w:num>
  <w:num w:numId="18">
    <w:abstractNumId w:val="4"/>
  </w:num>
  <w:num w:numId="19">
    <w:abstractNumId w:val="11"/>
  </w:num>
  <w:num w:numId="20">
    <w:abstractNumId w:val="36"/>
  </w:num>
  <w:num w:numId="21">
    <w:abstractNumId w:val="14"/>
  </w:num>
  <w:num w:numId="22">
    <w:abstractNumId w:val="18"/>
  </w:num>
  <w:num w:numId="23">
    <w:abstractNumId w:val="13"/>
  </w:num>
  <w:num w:numId="24">
    <w:abstractNumId w:val="32"/>
  </w:num>
  <w:num w:numId="25">
    <w:abstractNumId w:val="5"/>
  </w:num>
  <w:num w:numId="26">
    <w:abstractNumId w:val="23"/>
  </w:num>
  <w:num w:numId="27">
    <w:abstractNumId w:val="3"/>
  </w:num>
  <w:num w:numId="28">
    <w:abstractNumId w:val="7"/>
  </w:num>
  <w:num w:numId="29">
    <w:abstractNumId w:val="21"/>
  </w:num>
  <w:num w:numId="30">
    <w:abstractNumId w:val="35"/>
  </w:num>
  <w:num w:numId="31">
    <w:abstractNumId w:val="29"/>
  </w:num>
  <w:num w:numId="32">
    <w:abstractNumId w:val="16"/>
  </w:num>
  <w:num w:numId="33">
    <w:abstractNumId w:val="42"/>
  </w:num>
  <w:num w:numId="34">
    <w:abstractNumId w:val="0"/>
  </w:num>
  <w:num w:numId="35">
    <w:abstractNumId w:val="43"/>
  </w:num>
  <w:num w:numId="36">
    <w:abstractNumId w:val="6"/>
  </w:num>
  <w:num w:numId="37">
    <w:abstractNumId w:val="8"/>
  </w:num>
  <w:num w:numId="38">
    <w:abstractNumId w:val="33"/>
  </w:num>
  <w:num w:numId="39">
    <w:abstractNumId w:val="17"/>
  </w:num>
  <w:num w:numId="40">
    <w:abstractNumId w:val="22"/>
  </w:num>
  <w:num w:numId="41">
    <w:abstractNumId w:val="41"/>
  </w:num>
  <w:num w:numId="42">
    <w:abstractNumId w:val="40"/>
  </w:num>
  <w:num w:numId="43">
    <w:abstractNumId w:val="31"/>
  </w:num>
  <w:num w:numId="44">
    <w:abstractNumId w:val="31"/>
  </w:num>
  <w:num w:numId="45">
    <w:abstractNumId w:val="3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adresat"/>
    <w:docVar w:name="dms_adresat_adresa" w:val="adresat_adresa"/>
    <w:docVar w:name="dms_adresat_dat_narozeni" w:val="adresat_dat_narozeni"/>
    <w:docVar w:name="dms_adresat_ic" w:val="adresat_ic"/>
    <w:docVar w:name="dms_adresat_jmeno" w:val="adresat_jmeno"/>
    <w:docVar w:name="dms_cj" w:val="cj"/>
    <w:docVar w:name="dms_datum" w:val="datum"/>
    <w:docVar w:name="dms_datum_textem" w:val="datum_textem"/>
    <w:docVar w:name="dms_datum_vzniku" w:val="datum_vzniku"/>
    <w:docVar w:name="dms_nadrizeny_reditel" w:val="nadrizeny_reditel"/>
    <w:docVar w:name="dms_otisk_razitka" w:val="otisk_razitka"/>
    <w:docVar w:name="dms_podpisova_dolozka" w:val="podpisova_dolozka"/>
    <w:docVar w:name="dms_podpisova_dolozka_funkce" w:val="podpisova_dolozka_funkce"/>
    <w:docVar w:name="dms_podpisova_dolozka_jmeno" w:val="podpisova_dolozka_jmeno"/>
    <w:docVar w:name="dms_prijaty_cj" w:val="prijaty_cj"/>
    <w:docVar w:name="dms_prijaty_ze_dne" w:val="prijaty_ze_dne"/>
    <w:docVar w:name="dms_prilohy" w:val="prilohy"/>
    <w:docVar w:name="dms_pripojene_dokumenty" w:val="pripojene_dokumenty"/>
    <w:docVar w:name="dms_spisova_znacka" w:val="spisova_znacka"/>
    <w:docVar w:name="dms_spravce_jmeno" w:val="spravce_jmeno"/>
    <w:docVar w:name="dms_spravce_mail" w:val="spravce_mail"/>
    <w:docVar w:name="dms_spravce_telefon" w:val="spravce_telefon"/>
    <w:docVar w:name="dms_statni_symbol" w:val="statni_symbol"/>
    <w:docVar w:name="dms_text" w:val="text"/>
    <w:docVar w:name="dms_utvar_adresa" w:val="utvar_adresa"/>
    <w:docVar w:name="dms_utvar_cislo" w:val="utvar_cislo"/>
    <w:docVar w:name="dms_utvar_nazev" w:val="utvar_nazev"/>
    <w:docVar w:name="dms_utvar_nazev_adresa" w:val="utvar_nazev_adresa"/>
    <w:docVar w:name="dms_utvar_nazev_do_dopisu" w:val="utvar_nazev_do_dopisu"/>
    <w:docVar w:name="dms_vec" w:val="vec"/>
    <w:docVar w:name="dms_zpracoval_jmeno" w:val="zpracoval_jmeno"/>
    <w:docVar w:name="dms_zpracoval_mail" w:val="zpracoval_mail"/>
    <w:docVar w:name="dms_zpracoval_telefon" w:val="zpracoval_telefon"/>
  </w:docVars>
  <w:rsids>
    <w:rsidRoot w:val="00FC57BB"/>
    <w:rsid w:val="000B37EA"/>
    <w:rsid w:val="0016025B"/>
    <w:rsid w:val="002D4E32"/>
    <w:rsid w:val="00313902"/>
    <w:rsid w:val="004C21EF"/>
    <w:rsid w:val="005336E6"/>
    <w:rsid w:val="005354D8"/>
    <w:rsid w:val="00584476"/>
    <w:rsid w:val="005A70AB"/>
    <w:rsid w:val="005F5D08"/>
    <w:rsid w:val="006542D9"/>
    <w:rsid w:val="00697ADD"/>
    <w:rsid w:val="00700D3F"/>
    <w:rsid w:val="008C7A00"/>
    <w:rsid w:val="008F4B9E"/>
    <w:rsid w:val="009A2A78"/>
    <w:rsid w:val="009F556E"/>
    <w:rsid w:val="00AD522C"/>
    <w:rsid w:val="00B236CE"/>
    <w:rsid w:val="00DB1FD4"/>
    <w:rsid w:val="00E44927"/>
    <w:rsid w:val="00F811D8"/>
    <w:rsid w:val="00F852D0"/>
    <w:rsid w:val="00F90955"/>
    <w:rsid w:val="00FA4044"/>
    <w:rsid w:val="00FB66EB"/>
    <w:rsid w:val="00FC1421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8279"/>
  <w15:docId w15:val="{B27AF7E8-FB89-4003-8D2E-9E30909D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customStyle="1" w:styleId="Bezseznamu10000000">
    <w:name w:val="Bez seznamu1_0_0_0_0_0_0"/>
    <w:semiHidden/>
    <w:unhideWhenUsed/>
  </w:style>
  <w:style w:type="paragraph" w:styleId="Odstavecseseznamem">
    <w:name w:val="List Paragraph"/>
    <w:basedOn w:val="Normln"/>
    <w:uiPriority w:val="34"/>
    <w:qFormat/>
    <w:rsid w:val="00FB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89FE-7E40-4059-9E4F-2487FB50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Pelant</dc:creator>
  <cp:lastModifiedBy>Bělinová Kateřina</cp:lastModifiedBy>
  <cp:revision>8</cp:revision>
  <dcterms:created xsi:type="dcterms:W3CDTF">2020-06-05T11:34:00Z</dcterms:created>
  <dcterms:modified xsi:type="dcterms:W3CDTF">2020-06-24T06:11:00Z</dcterms:modified>
</cp:coreProperties>
</file>