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80" w:type="dxa"/>
        <w:shd w:val="clear" w:color="auto" w:fill="FFFFFF"/>
        <w:tblCellMar>
          <w:left w:w="0" w:type="dxa"/>
          <w:right w:w="0" w:type="dxa"/>
        </w:tblCellMar>
        <w:tblLook w:val="04A0" w:firstRow="1" w:lastRow="0" w:firstColumn="1" w:lastColumn="0" w:noHBand="0" w:noVBand="1"/>
      </w:tblPr>
      <w:tblGrid>
        <w:gridCol w:w="952"/>
        <w:gridCol w:w="2108"/>
        <w:gridCol w:w="1193"/>
        <w:gridCol w:w="1276"/>
        <w:gridCol w:w="1275"/>
        <w:gridCol w:w="1276"/>
        <w:gridCol w:w="43"/>
        <w:gridCol w:w="4068"/>
        <w:gridCol w:w="58"/>
        <w:gridCol w:w="2068"/>
        <w:gridCol w:w="63"/>
      </w:tblGrid>
      <w:tr w:rsidR="001A77A6" w:rsidRPr="001A77A6" w:rsidTr="001A77A6">
        <w:trPr>
          <w:trHeight w:val="520"/>
        </w:trPr>
        <w:tc>
          <w:tcPr>
            <w:tcW w:w="8123" w:type="dxa"/>
            <w:gridSpan w:val="7"/>
            <w:shd w:val="clear" w:color="auto" w:fill="FFFFFF"/>
            <w:noWrap/>
            <w:tcMar>
              <w:top w:w="0" w:type="dxa"/>
              <w:left w:w="70" w:type="dxa"/>
              <w:bottom w:w="0" w:type="dxa"/>
              <w:right w:w="70" w:type="dxa"/>
            </w:tcMar>
            <w:vAlign w:val="bottom"/>
            <w:hideMark/>
          </w:tcPr>
          <w:p w:rsidR="001A77A6" w:rsidRPr="001A77A6" w:rsidRDefault="001A77A6" w:rsidP="001A77A6">
            <w:pPr>
              <w:spacing w:before="100" w:beforeAutospacing="1" w:after="100" w:afterAutospacing="1" w:line="240" w:lineRule="auto"/>
              <w:jc w:val="center"/>
              <w:rPr>
                <w:rFonts w:ascii="Arial" w:eastAsia="Times New Roman" w:hAnsi="Arial" w:cs="Arial"/>
                <w:color w:val="262626"/>
                <w:sz w:val="20"/>
                <w:szCs w:val="20"/>
                <w:lang w:eastAsia="cs-CZ"/>
              </w:rPr>
            </w:pPr>
            <w:r w:rsidRPr="001A77A6">
              <w:rPr>
                <w:rFonts w:ascii="Arial" w:eastAsia="Times New Roman" w:hAnsi="Arial" w:cs="Arial"/>
                <w:b/>
                <w:bCs/>
                <w:color w:val="000000"/>
                <w:sz w:val="40"/>
                <w:szCs w:val="40"/>
                <w:lang w:eastAsia="cs-CZ"/>
              </w:rPr>
              <w:t>Harmonogram výzev PRV na rok 2020</w:t>
            </w:r>
          </w:p>
        </w:tc>
        <w:tc>
          <w:tcPr>
            <w:tcW w:w="4126" w:type="dxa"/>
            <w:gridSpan w:val="2"/>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Arial" w:eastAsia="Times New Roman" w:hAnsi="Arial" w:cs="Arial"/>
                <w:color w:val="262626"/>
                <w:sz w:val="20"/>
                <w:szCs w:val="20"/>
                <w:lang w:eastAsia="cs-CZ"/>
              </w:rPr>
            </w:pPr>
          </w:p>
        </w:tc>
        <w:tc>
          <w:tcPr>
            <w:tcW w:w="2131" w:type="dxa"/>
            <w:gridSpan w:val="2"/>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r>
      <w:tr w:rsidR="001A77A6" w:rsidRPr="001A77A6" w:rsidTr="001A77A6">
        <w:trPr>
          <w:gridAfter w:val="1"/>
          <w:wAfter w:w="63" w:type="dxa"/>
          <w:trHeight w:val="270"/>
        </w:trPr>
        <w:tc>
          <w:tcPr>
            <w:tcW w:w="952"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2108"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1193"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1276"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1275"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1276" w:type="dxa"/>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4111" w:type="dxa"/>
            <w:gridSpan w:val="2"/>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c>
          <w:tcPr>
            <w:tcW w:w="2126" w:type="dxa"/>
            <w:gridSpan w:val="2"/>
            <w:tcBorders>
              <w:bottom w:val="single" w:sz="4" w:space="0" w:color="auto"/>
            </w:tcBorders>
            <w:shd w:val="clear" w:color="auto" w:fill="FFFFFF"/>
            <w:noWrap/>
            <w:tcMar>
              <w:top w:w="0" w:type="dxa"/>
              <w:left w:w="70" w:type="dxa"/>
              <w:bottom w:w="0" w:type="dxa"/>
              <w:right w:w="70" w:type="dxa"/>
            </w:tcMar>
            <w:vAlign w:val="bottom"/>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p>
        </w:tc>
      </w:tr>
      <w:tr w:rsidR="001A77A6" w:rsidRPr="001A77A6" w:rsidTr="001A77A6">
        <w:trPr>
          <w:gridAfter w:val="1"/>
          <w:wAfter w:w="63" w:type="dxa"/>
          <w:trHeight w:val="900"/>
        </w:trPr>
        <w:tc>
          <w:tcPr>
            <w:tcW w:w="95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Příjem žádostí</w:t>
            </w:r>
          </w:p>
        </w:tc>
        <w:tc>
          <w:tcPr>
            <w:tcW w:w="210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Název výzvy</w:t>
            </w:r>
          </w:p>
        </w:tc>
        <w:tc>
          <w:tcPr>
            <w:tcW w:w="119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Plánované datum vyhlášení výzvy</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Plánované datum zahájení příjmu žádostí o podporu</w:t>
            </w:r>
          </w:p>
        </w:tc>
        <w:tc>
          <w:tcPr>
            <w:tcW w:w="127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Plánované datum ukončení příjmu žádostí o podporu</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Finanční alokace plánované výzvy (Kč)</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Podporované aktivity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b/>
                <w:bCs/>
                <w:color w:val="262626"/>
                <w:sz w:val="20"/>
                <w:szCs w:val="20"/>
                <w:lang w:eastAsia="cs-CZ"/>
              </w:rPr>
              <w:t>Typ příjemce</w:t>
            </w:r>
          </w:p>
        </w:tc>
      </w:tr>
      <w:tr w:rsidR="001A77A6" w:rsidRPr="001A77A6" w:rsidTr="001A77A6">
        <w:trPr>
          <w:gridAfter w:val="1"/>
          <w:wAfter w:w="63" w:type="dxa"/>
          <w:trHeight w:val="390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8.1.1 Zalesňování a zakládání </w:t>
            </w:r>
            <w:proofErr w:type="gramStart"/>
            <w:r w:rsidRPr="001A77A6">
              <w:rPr>
                <w:rFonts w:ascii="Arial" w:eastAsia="Times New Roman" w:hAnsi="Arial" w:cs="Arial"/>
                <w:color w:val="000000"/>
                <w:sz w:val="20"/>
                <w:szCs w:val="20"/>
                <w:lang w:eastAsia="cs-CZ"/>
              </w:rPr>
              <w:t>lesů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15.02.2020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30.11.2020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33 000 000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Operace se zaměřuje na zalesnění zemědělské půdy včetně poskytnutí péče o založený porost a náhrady za ukončení zemědělské činnosti. Podpora je zacílena na vymezenou zemědělskou půdu v LPIS, která je definována jako vhodná k zalesnění (ha) a způsobilá pro přímou platbu, resp. SAPS.</w:t>
            </w:r>
            <w:r w:rsidRPr="001A77A6">
              <w:rPr>
                <w:rFonts w:ascii="Arial" w:eastAsia="Times New Roman" w:hAnsi="Arial" w:cs="Arial"/>
                <w:color w:val="000000"/>
                <w:sz w:val="20"/>
                <w:szCs w:val="20"/>
                <w:lang w:eastAsia="cs-CZ"/>
              </w:rPr>
              <w:br/>
              <w:t>Založení porostu lze realizovat na vymezené zemědělské půdě vhodné pro zalesnění, dle BPEJ a na základě typologie zalesňovaných půd v souladu s národní legislativou. Typologie je stanovována na základě trvalých ekologických podmínek, tzn., hodnocení trvalých znaků prostředí (světlo, teplo, vodní režim a půdní chemismus) a také rekonstrukce přirozeného složení rostlinného společenstva a je nezbytná při zalesňování nelesní půdy pro stanovení vhodné druhové skladby nového lesního porostu. Tato vymezená vrstva byla konzultována také s Ministerstvem životního prostředí. Zalesnění bude provedeno podle projektu zalesnění stanovištně vhodnými druhy</w:t>
            </w:r>
            <w:r w:rsidRPr="001A77A6">
              <w:rPr>
                <w:rFonts w:ascii="Arial" w:eastAsia="Times New Roman" w:hAnsi="Arial" w:cs="Arial"/>
                <w:color w:val="000000"/>
                <w:sz w:val="20"/>
                <w:szCs w:val="20"/>
                <w:lang w:eastAsia="cs-CZ"/>
              </w:rPr>
              <w:br/>
              <w:t>dřevin.</w:t>
            </w:r>
            <w:r w:rsidRPr="001A77A6">
              <w:rPr>
                <w:rFonts w:ascii="Arial" w:eastAsia="Times New Roman" w:hAnsi="Arial" w:cs="Arial"/>
                <w:color w:val="000000"/>
                <w:sz w:val="20"/>
                <w:szCs w:val="20"/>
                <w:lang w:eastAsia="cs-CZ"/>
              </w:rPr>
              <w:br/>
              <w:t xml:space="preserve">Projekt zalesnění je podmíněn schválením odborného lesního hospodáře a příslušného orgánu ochrany přírody. Tento projekt obsahuje výčet stanovených druhů dřevin a </w:t>
            </w:r>
            <w:r w:rsidRPr="001A77A6">
              <w:rPr>
                <w:rFonts w:ascii="Arial" w:eastAsia="Times New Roman" w:hAnsi="Arial" w:cs="Arial"/>
                <w:color w:val="000000"/>
                <w:sz w:val="20"/>
                <w:szCs w:val="20"/>
                <w:lang w:eastAsia="cs-CZ"/>
              </w:rPr>
              <w:lastRenderedPageBreak/>
              <w:t>jejich počtů s ohledem na stanoviště výsadby, stanovený počet melioračních a zpevňujících dřevin, metody výsadby a ochrany porostu. K projektu se v rámci schvalování</w:t>
            </w:r>
            <w:r w:rsidRPr="001A77A6">
              <w:rPr>
                <w:rFonts w:ascii="Arial" w:eastAsia="Times New Roman" w:hAnsi="Arial" w:cs="Arial"/>
                <w:color w:val="000000"/>
                <w:sz w:val="20"/>
                <w:szCs w:val="20"/>
                <w:lang w:eastAsia="cs-CZ"/>
              </w:rPr>
              <w:br/>
              <w:t>převodu zemědělského pozemku, který žadatel hodlá zalesnit, do pozemku určeného k plnění funkcí lesa, vyjadřují místně příslušné orgány státní správy dle národních právních předpisů, a to s ohledem na potřebu odolnosti porostu vůči změně klimatu, a k biotickým, půdním a hydrologickým podmínkám dané oblasti.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Soukromí a veřejní vlastníci, nájemci a pachtýři půdy a jejich sdružení a spolky. V případě státní půdy může být podpora poskytnuta pouze tehdy, hospodaří-li na ní soukromý subjekt nebo obec.</w:t>
            </w:r>
            <w:r w:rsidRPr="001A77A6">
              <w:rPr>
                <w:rFonts w:ascii="Arial" w:eastAsia="Times New Roman" w:hAnsi="Arial" w:cs="Arial"/>
                <w:color w:val="000000"/>
                <w:sz w:val="20"/>
                <w:szCs w:val="20"/>
                <w:lang w:eastAsia="cs-CZ"/>
              </w:rPr>
              <w:br/>
              <w:t>Podpora na zalesnění pozemků, jejímž vlastníkem jsou veřejné orgány, kryje pouze náklady na založení lesního porostu.</w:t>
            </w:r>
          </w:p>
        </w:tc>
      </w:tr>
      <w:tr w:rsidR="001A77A6" w:rsidRPr="001A77A6" w:rsidTr="001A77A6">
        <w:trPr>
          <w:gridAfter w:val="1"/>
          <w:wAfter w:w="63" w:type="dxa"/>
          <w:trHeight w:val="260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M10 </w:t>
            </w:r>
            <w:proofErr w:type="spellStart"/>
            <w:r w:rsidRPr="001A77A6">
              <w:rPr>
                <w:rFonts w:ascii="Arial" w:eastAsia="Times New Roman" w:hAnsi="Arial" w:cs="Arial"/>
                <w:color w:val="000000"/>
                <w:sz w:val="20"/>
                <w:szCs w:val="20"/>
                <w:lang w:eastAsia="cs-CZ"/>
              </w:rPr>
              <w:t>Agroenvironmentálně</w:t>
            </w:r>
            <w:proofErr w:type="spellEnd"/>
            <w:r w:rsidRPr="001A77A6">
              <w:rPr>
                <w:rFonts w:ascii="Arial" w:eastAsia="Times New Roman" w:hAnsi="Arial" w:cs="Arial"/>
                <w:color w:val="000000"/>
                <w:sz w:val="20"/>
                <w:szCs w:val="20"/>
                <w:lang w:eastAsia="cs-CZ"/>
              </w:rPr>
              <w:t xml:space="preserve">-klimatické </w:t>
            </w:r>
            <w:proofErr w:type="gramStart"/>
            <w:r w:rsidRPr="001A77A6">
              <w:rPr>
                <w:rFonts w:ascii="Arial" w:eastAsia="Times New Roman" w:hAnsi="Arial" w:cs="Arial"/>
                <w:color w:val="000000"/>
                <w:sz w:val="20"/>
                <w:szCs w:val="20"/>
                <w:lang w:eastAsia="cs-CZ"/>
              </w:rPr>
              <w:t>opatření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3 400 000 000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10.1.1 Integrovaná produkce ovoce</w:t>
            </w:r>
            <w:r w:rsidRPr="001A77A6">
              <w:rPr>
                <w:rFonts w:ascii="Arial" w:eastAsia="Times New Roman" w:hAnsi="Arial" w:cs="Arial"/>
                <w:color w:val="000000"/>
                <w:sz w:val="20"/>
                <w:szCs w:val="20"/>
                <w:lang w:eastAsia="cs-CZ"/>
              </w:rPr>
              <w:br/>
              <w:t>10.1.2 Integrovaná produkce révy vinné</w:t>
            </w:r>
            <w:r w:rsidRPr="001A77A6">
              <w:rPr>
                <w:rFonts w:ascii="Arial" w:eastAsia="Times New Roman" w:hAnsi="Arial" w:cs="Arial"/>
                <w:color w:val="000000"/>
                <w:sz w:val="20"/>
                <w:szCs w:val="20"/>
                <w:lang w:eastAsia="cs-CZ"/>
              </w:rPr>
              <w:br/>
              <w:t>10.1.3 Integrovaná produkce zeleniny a jahodníku</w:t>
            </w:r>
            <w:r w:rsidRPr="001A77A6">
              <w:rPr>
                <w:rFonts w:ascii="Arial" w:eastAsia="Times New Roman" w:hAnsi="Arial" w:cs="Arial"/>
                <w:color w:val="000000"/>
                <w:sz w:val="20"/>
                <w:szCs w:val="20"/>
                <w:lang w:eastAsia="cs-CZ"/>
              </w:rPr>
              <w:br/>
              <w:t>10.1.4 Ošetřování travních porostů</w:t>
            </w:r>
            <w:r w:rsidRPr="001A77A6">
              <w:rPr>
                <w:rFonts w:ascii="Arial" w:eastAsia="Times New Roman" w:hAnsi="Arial" w:cs="Arial"/>
                <w:color w:val="000000"/>
                <w:sz w:val="20"/>
                <w:szCs w:val="20"/>
                <w:lang w:eastAsia="cs-CZ"/>
              </w:rPr>
              <w:br/>
              <w:t>10.1.5 Zatravňování orné půdy</w:t>
            </w:r>
            <w:r w:rsidRPr="001A77A6">
              <w:rPr>
                <w:rFonts w:ascii="Arial" w:eastAsia="Times New Roman" w:hAnsi="Arial" w:cs="Arial"/>
                <w:color w:val="000000"/>
                <w:sz w:val="20"/>
                <w:szCs w:val="20"/>
                <w:lang w:eastAsia="cs-CZ"/>
              </w:rPr>
              <w:br/>
              <w:t xml:space="preserve">10.1.6 </w:t>
            </w:r>
            <w:proofErr w:type="spellStart"/>
            <w:r w:rsidRPr="001A77A6">
              <w:rPr>
                <w:rFonts w:ascii="Arial" w:eastAsia="Times New Roman" w:hAnsi="Arial" w:cs="Arial"/>
                <w:color w:val="000000"/>
                <w:sz w:val="20"/>
                <w:szCs w:val="20"/>
                <w:lang w:eastAsia="cs-CZ"/>
              </w:rPr>
              <w:t>Biopásy</w:t>
            </w:r>
            <w:proofErr w:type="spellEnd"/>
            <w:r w:rsidRPr="001A77A6">
              <w:rPr>
                <w:rFonts w:ascii="Arial" w:eastAsia="Times New Roman" w:hAnsi="Arial" w:cs="Arial"/>
                <w:color w:val="000000"/>
                <w:sz w:val="20"/>
                <w:szCs w:val="20"/>
                <w:lang w:eastAsia="cs-CZ"/>
              </w:rPr>
              <w:br/>
              <w:t>10.1.7 Ochrana čejky chocholaté</w:t>
            </w:r>
            <w:r w:rsidRPr="001A77A6">
              <w:rPr>
                <w:rFonts w:ascii="Arial" w:eastAsia="Times New Roman" w:hAnsi="Arial" w:cs="Arial"/>
                <w:color w:val="000000"/>
                <w:sz w:val="20"/>
                <w:szCs w:val="20"/>
                <w:lang w:eastAsia="cs-CZ"/>
              </w:rPr>
              <w:br/>
              <w:t>10.1.8 Zatravňování drah soustředěného odtoku</w:t>
            </w:r>
            <w:r w:rsidRPr="001A77A6">
              <w:rPr>
                <w:rFonts w:ascii="Arial" w:eastAsia="Times New Roman" w:hAnsi="Arial" w:cs="Arial"/>
                <w:color w:val="000000"/>
                <w:sz w:val="20"/>
                <w:szCs w:val="20"/>
                <w:lang w:eastAsia="cs-CZ"/>
              </w:rPr>
              <w:br/>
              <w:t>Podpora se v rámci celého opatření poskytuje jako účelová platba poskytovaná na hektar oprávněné plochy evidované v LPIS. Závazky jsou realizovány jako víceleté.</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Příjemcem podpory jsou uživatelé půdy evidované v LPIS, kteří se dobrovolně zaváží k provádění podmínek v rámci závazku.</w:t>
            </w:r>
          </w:p>
        </w:tc>
      </w:tr>
      <w:tr w:rsidR="001A77A6" w:rsidRPr="001A77A6" w:rsidTr="001A77A6">
        <w:trPr>
          <w:gridAfter w:val="1"/>
          <w:wAfter w:w="63" w:type="dxa"/>
          <w:trHeight w:val="364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M11 Ekologické </w:t>
            </w:r>
            <w:proofErr w:type="gramStart"/>
            <w:r w:rsidRPr="001A77A6">
              <w:rPr>
                <w:rFonts w:ascii="Arial" w:eastAsia="Times New Roman" w:hAnsi="Arial" w:cs="Arial"/>
                <w:color w:val="000000"/>
                <w:sz w:val="20"/>
                <w:szCs w:val="20"/>
                <w:lang w:eastAsia="cs-CZ"/>
              </w:rPr>
              <w:t>zemědělství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1 400 000 000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11.1 Platba na přechod na postupy a způsoby ekologického zemědělství</w:t>
            </w:r>
            <w:r w:rsidRPr="001A77A6">
              <w:rPr>
                <w:rFonts w:ascii="Arial" w:eastAsia="Times New Roman" w:hAnsi="Arial" w:cs="Arial"/>
                <w:color w:val="000000"/>
                <w:sz w:val="20"/>
                <w:szCs w:val="20"/>
                <w:lang w:eastAsia="cs-CZ"/>
              </w:rPr>
              <w:br/>
              <w:t>Cílem je podpora konverze (přechodu) z konvenčního způsobu hospodaření na způsob ekologický, který je šetrný k přírodě a navýšení počtu ekologicky hospodařících zemědělců.</w:t>
            </w:r>
            <w:r w:rsidRPr="001A77A6">
              <w:rPr>
                <w:rFonts w:ascii="Arial" w:eastAsia="Times New Roman" w:hAnsi="Arial" w:cs="Arial"/>
                <w:color w:val="000000"/>
                <w:sz w:val="20"/>
                <w:szCs w:val="20"/>
                <w:lang w:eastAsia="cs-CZ"/>
              </w:rPr>
              <w:br/>
              <w:t>Podpora zemědělců, kteří se dobrovolně zaváží hospodařit v souladu s nařízením Rady (ES) č. 834/2007, nařízení Komise (ES) č. 889/2008 a dle zákona č. 242/2000 Sb., o ekologickém zemědělství, v platném znění.</w:t>
            </w:r>
            <w:r w:rsidRPr="001A77A6">
              <w:rPr>
                <w:rFonts w:ascii="Arial" w:eastAsia="Times New Roman" w:hAnsi="Arial" w:cs="Arial"/>
                <w:color w:val="000000"/>
                <w:sz w:val="20"/>
                <w:szCs w:val="20"/>
                <w:lang w:eastAsia="cs-CZ"/>
              </w:rPr>
              <w:br/>
              <w:t>11.2 Platba na zachování postupů a způsobů ekologického zemědělství</w:t>
            </w:r>
            <w:r w:rsidRPr="001A77A6">
              <w:rPr>
                <w:rFonts w:ascii="Arial" w:eastAsia="Times New Roman" w:hAnsi="Arial" w:cs="Arial"/>
                <w:color w:val="000000"/>
                <w:sz w:val="20"/>
                <w:szCs w:val="20"/>
                <w:lang w:eastAsia="cs-CZ"/>
              </w:rPr>
              <w:br/>
              <w:t>Podpora zemědělců, kteří se dobrovolně zaváží hospodařit v souladu s nařízením Rady (ES) č. 834/2007, nařízení Komise (ES) č. 889/2008 a dle zákona č. 242/2000 Sb., o ekologickém zemědělství, v platném znění.</w:t>
            </w:r>
            <w:r w:rsidRPr="001A77A6">
              <w:rPr>
                <w:rFonts w:ascii="Arial" w:eastAsia="Times New Roman" w:hAnsi="Arial" w:cs="Arial"/>
                <w:color w:val="000000"/>
                <w:sz w:val="20"/>
                <w:szCs w:val="20"/>
                <w:lang w:eastAsia="cs-CZ"/>
              </w:rPr>
              <w:br/>
              <w:t>Podporováno bude hospodaření na orné půdě, travních porostech, v sadech, vinicích, chmelnicích a pěstování zeleniny a speciálních bylin.</w:t>
            </w:r>
            <w:r w:rsidRPr="001A77A6">
              <w:rPr>
                <w:rFonts w:ascii="Arial" w:eastAsia="Times New Roman" w:hAnsi="Arial" w:cs="Arial"/>
                <w:color w:val="000000"/>
                <w:sz w:val="20"/>
                <w:szCs w:val="20"/>
                <w:lang w:eastAsia="cs-CZ"/>
              </w:rPr>
              <w:br/>
              <w:t>Podpora v rámci celého opatření se poskytuje jako účelová platba poskytovaná na hektar oprávněné plochy evidované v LPIS.</w:t>
            </w:r>
            <w:r w:rsidRPr="001A77A6">
              <w:rPr>
                <w:rFonts w:ascii="Arial" w:eastAsia="Times New Roman" w:hAnsi="Arial" w:cs="Arial"/>
                <w:color w:val="000000"/>
                <w:sz w:val="20"/>
                <w:szCs w:val="20"/>
                <w:lang w:eastAsia="cs-CZ"/>
              </w:rPr>
              <w:br/>
              <w:t>Za způsobilý výdaj je považován dobrovolný závazek k přechodu na postupy a způsoby ekologického zemědělství či k zachování těchto postupů a způsobů, jak jsou vymezeny v nařízení Rady (ES) č. 834/2007. Závazky jsou realizovány jako pětileté.</w:t>
            </w:r>
            <w:r w:rsidRPr="001A77A6">
              <w:rPr>
                <w:rFonts w:ascii="Arial" w:eastAsia="Times New Roman" w:hAnsi="Arial" w:cs="Arial"/>
                <w:color w:val="000000"/>
                <w:sz w:val="20"/>
                <w:szCs w:val="20"/>
                <w:lang w:eastAsia="cs-CZ"/>
              </w:rPr>
              <w:br/>
              <w:t xml:space="preserve">Způsobilé výdaje jsou stanoveny na základě dodatečných nákladů a ušlých příjmů vznikajících v důsledku přijatých závazků. Platba je postavena na rozdílu příspěvku na </w:t>
            </w:r>
            <w:r w:rsidRPr="001A77A6">
              <w:rPr>
                <w:rFonts w:ascii="Arial" w:eastAsia="Times New Roman" w:hAnsi="Arial" w:cs="Arial"/>
                <w:color w:val="000000"/>
                <w:sz w:val="20"/>
                <w:szCs w:val="20"/>
                <w:lang w:eastAsia="cs-CZ"/>
              </w:rPr>
              <w:lastRenderedPageBreak/>
              <w:t>úhradu fixních nákladů a zisku ekologické a konvenční produkce na daném typu kultury.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Příjemcem podpory je</w:t>
            </w:r>
            <w:r w:rsidRPr="001A77A6">
              <w:rPr>
                <w:rFonts w:ascii="Arial" w:eastAsia="Times New Roman" w:hAnsi="Arial" w:cs="Arial"/>
                <w:color w:val="000000"/>
                <w:sz w:val="20"/>
                <w:szCs w:val="20"/>
                <w:lang w:eastAsia="cs-CZ"/>
              </w:rPr>
              <w:br/>
              <w:t>- zemědělský podnikatel blíže specifikovaný v nařízení vlády o podmínkách provádění opatření ekologické zemědělství, který provozuje zemědělskou činnost vlastním jménem a na vlastní odpovědnost,</w:t>
            </w:r>
            <w:r w:rsidRPr="001A77A6">
              <w:rPr>
                <w:rFonts w:ascii="Arial" w:eastAsia="Times New Roman" w:hAnsi="Arial" w:cs="Arial"/>
                <w:color w:val="000000"/>
                <w:sz w:val="20"/>
                <w:szCs w:val="20"/>
                <w:lang w:eastAsia="cs-CZ"/>
              </w:rPr>
              <w:br/>
              <w:t>- aktivní zemědělec podle čl. 9 nařízení (EU) č. 1307/2013, a zároveň</w:t>
            </w:r>
            <w:r w:rsidRPr="001A77A6">
              <w:rPr>
                <w:rFonts w:ascii="Arial" w:eastAsia="Times New Roman" w:hAnsi="Arial" w:cs="Arial"/>
                <w:color w:val="000000"/>
                <w:sz w:val="20"/>
                <w:szCs w:val="20"/>
                <w:lang w:eastAsia="cs-CZ"/>
              </w:rPr>
              <w:br/>
              <w:t>- registrovaný ekologický podnikatel podle § 6 až 8 zákona č. 242/2000 Sb., o ekologickém zemědělství hospodařící v souladu se zákonem č. 242/200 Sb.</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M12 Platby v rámci sítě Natura 2000 - příjem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12 000 000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Kompenzace dodatečných nákladů a ušlých příjmů způsobených omezením hospodaření a tedy i zachováním biologické rozmanitosti v oblastech Natura 2000 nebo v územích, které na ně mohou navazovat </w:t>
            </w:r>
            <w:proofErr w:type="gramStart"/>
            <w:r w:rsidRPr="001A77A6">
              <w:rPr>
                <w:rFonts w:ascii="Arial" w:eastAsia="Times New Roman" w:hAnsi="Arial" w:cs="Arial"/>
                <w:color w:val="000000"/>
                <w:sz w:val="20"/>
                <w:szCs w:val="20"/>
                <w:lang w:eastAsia="cs-CZ"/>
              </w:rPr>
              <w:t>(?</w:t>
            </w:r>
            <w:proofErr w:type="spellStart"/>
            <w:r w:rsidRPr="001A77A6">
              <w:rPr>
                <w:rFonts w:ascii="Arial" w:eastAsia="Times New Roman" w:hAnsi="Arial" w:cs="Arial"/>
                <w:color w:val="000000"/>
                <w:sz w:val="20"/>
                <w:szCs w:val="20"/>
                <w:lang w:eastAsia="cs-CZ"/>
              </w:rPr>
              <w:t>stepping</w:t>
            </w:r>
            <w:proofErr w:type="spellEnd"/>
            <w:proofErr w:type="gramEnd"/>
            <w:r w:rsidRPr="001A77A6">
              <w:rPr>
                <w:rFonts w:ascii="Arial" w:eastAsia="Times New Roman" w:hAnsi="Arial" w:cs="Arial"/>
                <w:color w:val="000000"/>
                <w:sz w:val="20"/>
                <w:szCs w:val="20"/>
                <w:lang w:eastAsia="cs-CZ"/>
              </w:rPr>
              <w:t xml:space="preserve"> </w:t>
            </w:r>
            <w:proofErr w:type="spellStart"/>
            <w:r w:rsidRPr="001A77A6">
              <w:rPr>
                <w:rFonts w:ascii="Arial" w:eastAsia="Times New Roman" w:hAnsi="Arial" w:cs="Arial"/>
                <w:color w:val="000000"/>
                <w:sz w:val="20"/>
                <w:szCs w:val="20"/>
                <w:lang w:eastAsia="cs-CZ"/>
              </w:rPr>
              <w:t>stones</w:t>
            </w:r>
            <w:proofErr w:type="spellEnd"/>
            <w:r w:rsidRPr="001A77A6">
              <w:rPr>
                <w:rFonts w:ascii="Arial" w:eastAsia="Times New Roman" w:hAnsi="Arial" w:cs="Arial"/>
                <w:color w:val="000000"/>
                <w:sz w:val="20"/>
                <w:szCs w:val="20"/>
                <w:lang w:eastAsia="cs-CZ"/>
              </w:rPr>
              <w:t>?), při vhodném způsobu obhospodařování zemědělské půdy. Tyto oblasti je vhodné podporovat z hlediska možného rozšíření druhů a biotopů. Snížením intenzivních technologií (omezení hnojení) v oblastech Natura 2000 přispěje podpora k zachování nebo zlepšení stavu druhů a stanovišť z hlediska ochrany.</w:t>
            </w:r>
            <w:r w:rsidRPr="001A77A6">
              <w:rPr>
                <w:rFonts w:ascii="Arial" w:eastAsia="Times New Roman" w:hAnsi="Arial" w:cs="Arial"/>
                <w:color w:val="000000"/>
                <w:sz w:val="20"/>
                <w:szCs w:val="20"/>
                <w:lang w:eastAsia="cs-CZ"/>
              </w:rPr>
              <w:br/>
              <w:t>Podpora má formu dotace poskytované na hektar oprávněné plochy (UAA</w:t>
            </w:r>
            <w:proofErr w:type="gramStart"/>
            <w:r w:rsidRPr="001A77A6">
              <w:rPr>
                <w:rFonts w:ascii="Arial" w:eastAsia="Times New Roman" w:hAnsi="Arial" w:cs="Arial"/>
                <w:color w:val="000000"/>
                <w:sz w:val="20"/>
                <w:szCs w:val="20"/>
                <w:lang w:eastAsia="cs-CZ"/>
              </w:rPr>
              <w:t>) ?</w:t>
            </w:r>
            <w:proofErr w:type="gramEnd"/>
            <w:r w:rsidRPr="001A77A6">
              <w:rPr>
                <w:rFonts w:ascii="Arial" w:eastAsia="Times New Roman" w:hAnsi="Arial" w:cs="Arial"/>
                <w:color w:val="000000"/>
                <w:sz w:val="20"/>
                <w:szCs w:val="20"/>
                <w:lang w:eastAsia="cs-CZ"/>
              </w:rPr>
              <w:t xml:space="preserve"> půdního bloku evidovaného v LPIS. Platba je založena na rozdílu příspěvku na úhradu při obvyklé úrovni hnojení a při zákazu hnojení (omezení intenzivních technologií).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Příjemcem podpory je zemědělský podnikatel blíže specifikovaný v nařízení vlády o podmínkách poskytování plateb v oblastech Natura 2000 na zemědělské půdě, který provozuje zemědělskou činnost vlastním jménem a na vlastní zodpovědnost.</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M13 Platby pro oblasti s přírodními či jinými zvláštními </w:t>
            </w:r>
            <w:proofErr w:type="gramStart"/>
            <w:r w:rsidRPr="001A77A6">
              <w:rPr>
                <w:rFonts w:ascii="Arial" w:eastAsia="Times New Roman" w:hAnsi="Arial" w:cs="Arial"/>
                <w:color w:val="000000"/>
                <w:sz w:val="20"/>
                <w:szCs w:val="20"/>
                <w:lang w:eastAsia="cs-CZ"/>
              </w:rPr>
              <w:t>omezeními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4 200 000 000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Plná nebo částečná kompenzace dodatečných nákladů a ušlých příjmů v souvislosti s omezením zemědělské produkce a zachování udržitelných systémů hospodaření v oblastech s přírodními či jinými zvláštními omezeními.</w:t>
            </w:r>
            <w:r w:rsidRPr="001A77A6">
              <w:rPr>
                <w:rFonts w:ascii="Arial" w:eastAsia="Times New Roman" w:hAnsi="Arial" w:cs="Arial"/>
                <w:color w:val="000000"/>
                <w:sz w:val="20"/>
                <w:szCs w:val="20"/>
                <w:lang w:eastAsia="cs-CZ"/>
              </w:rPr>
              <w:br/>
              <w:t>Podpora bude mít formu dotace poskytované na hektar oprávněné plochy (UAA) půdního bloku evidovaného v LPIS. Podpora se poskytuje jako paušální platba v následující výši na hektar způsobilé zemědělské půdy.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Příjemcem podpory je</w:t>
            </w:r>
            <w:r w:rsidRPr="001A77A6">
              <w:rPr>
                <w:rFonts w:ascii="Arial" w:eastAsia="Times New Roman" w:hAnsi="Arial" w:cs="Arial"/>
                <w:color w:val="000000"/>
                <w:sz w:val="20"/>
                <w:szCs w:val="20"/>
                <w:lang w:eastAsia="cs-CZ"/>
              </w:rPr>
              <w:br/>
              <w:t>- zemědělský podnikatel blíže specifikovaný v nařízení vlády o podmínkách poskytování plateb pro oblasti s přírodními nebo jinými zvláštními omezeními, který provozuje zemědělskou činnost vlastním jménem a na vlastní odpovědnost, a zároveň</w:t>
            </w:r>
            <w:r w:rsidRPr="001A77A6">
              <w:rPr>
                <w:rFonts w:ascii="Arial" w:eastAsia="Times New Roman" w:hAnsi="Arial" w:cs="Arial"/>
                <w:color w:val="000000"/>
                <w:sz w:val="20"/>
                <w:szCs w:val="20"/>
                <w:lang w:eastAsia="cs-CZ"/>
              </w:rPr>
              <w:br/>
              <w:t>- aktivní zemědělec podle čl. 9 nařízení (EU) č. 1307/2013.</w:t>
            </w:r>
          </w:p>
        </w:tc>
      </w:tr>
      <w:tr w:rsidR="001A77A6" w:rsidRPr="001A77A6" w:rsidTr="001A77A6">
        <w:trPr>
          <w:gridAfter w:val="1"/>
          <w:wAfter w:w="63" w:type="dxa"/>
          <w:trHeight w:val="390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M14 Dobré životní podmínky </w:t>
            </w:r>
            <w:proofErr w:type="gramStart"/>
            <w:r w:rsidRPr="001A77A6">
              <w:rPr>
                <w:rFonts w:ascii="Arial" w:eastAsia="Times New Roman" w:hAnsi="Arial" w:cs="Arial"/>
                <w:color w:val="000000"/>
                <w:sz w:val="20"/>
                <w:szCs w:val="20"/>
                <w:lang w:eastAsia="cs-CZ"/>
              </w:rPr>
              <w:t>zvířat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14.1.1 Zvýšení lehacího prostoru v chovu dojnic</w:t>
            </w:r>
            <w:r w:rsidRPr="001A77A6">
              <w:rPr>
                <w:rFonts w:ascii="Arial" w:eastAsia="Times New Roman" w:hAnsi="Arial" w:cs="Arial"/>
                <w:color w:val="000000"/>
                <w:sz w:val="20"/>
                <w:szCs w:val="20"/>
                <w:lang w:eastAsia="cs-CZ"/>
              </w:rPr>
              <w:br/>
              <w:t>Cílem poskytované podpory je zajistit navýšení celkového lehacího prostoru dojnic o min. 15% než je stanoveno v národní legislativě.</w:t>
            </w:r>
            <w:r w:rsidRPr="001A77A6">
              <w:rPr>
                <w:rFonts w:ascii="Arial" w:eastAsia="Times New Roman" w:hAnsi="Arial" w:cs="Arial"/>
                <w:color w:val="000000"/>
                <w:sz w:val="20"/>
                <w:szCs w:val="20"/>
                <w:lang w:eastAsia="cs-CZ"/>
              </w:rPr>
              <w:br/>
              <w:t>14.1.2 Zlepšení stájového prostředí v chovu dojnic</w:t>
            </w:r>
            <w:r w:rsidRPr="001A77A6">
              <w:rPr>
                <w:rFonts w:ascii="Arial" w:eastAsia="Times New Roman" w:hAnsi="Arial" w:cs="Arial"/>
                <w:color w:val="000000"/>
                <w:sz w:val="20"/>
                <w:szCs w:val="20"/>
                <w:lang w:eastAsia="cs-CZ"/>
              </w:rPr>
              <w:br/>
              <w:t>Cílem podpory je provádění desinsekce objektů, kde jsou ustájeny dojnice a zároveň používání alkalizované slámy nebo separátu při nastýlání.</w:t>
            </w:r>
            <w:r w:rsidRPr="001A77A6">
              <w:rPr>
                <w:rFonts w:ascii="Arial" w:eastAsia="Times New Roman" w:hAnsi="Arial" w:cs="Arial"/>
                <w:color w:val="000000"/>
                <w:sz w:val="20"/>
                <w:szCs w:val="20"/>
                <w:lang w:eastAsia="cs-CZ"/>
              </w:rPr>
              <w:br/>
              <w:t>14.1.3 Zajištění příst</w:t>
            </w:r>
            <w:bookmarkStart w:id="0" w:name="_GoBack"/>
            <w:bookmarkEnd w:id="0"/>
            <w:r w:rsidRPr="001A77A6">
              <w:rPr>
                <w:rFonts w:ascii="Arial" w:eastAsia="Times New Roman" w:hAnsi="Arial" w:cs="Arial"/>
                <w:color w:val="000000"/>
                <w:sz w:val="20"/>
                <w:szCs w:val="20"/>
                <w:lang w:eastAsia="cs-CZ"/>
              </w:rPr>
              <w:t xml:space="preserve">upu do výběhu pro </w:t>
            </w:r>
            <w:proofErr w:type="spellStart"/>
            <w:r w:rsidRPr="001A77A6">
              <w:rPr>
                <w:rFonts w:ascii="Arial" w:eastAsia="Times New Roman" w:hAnsi="Arial" w:cs="Arial"/>
                <w:color w:val="000000"/>
                <w:sz w:val="20"/>
                <w:szCs w:val="20"/>
                <w:lang w:eastAsia="cs-CZ"/>
              </w:rPr>
              <w:t>suchostojné</w:t>
            </w:r>
            <w:proofErr w:type="spellEnd"/>
            <w:r w:rsidRPr="001A77A6">
              <w:rPr>
                <w:rFonts w:ascii="Arial" w:eastAsia="Times New Roman" w:hAnsi="Arial" w:cs="Arial"/>
                <w:color w:val="000000"/>
                <w:sz w:val="20"/>
                <w:szCs w:val="20"/>
                <w:lang w:eastAsia="cs-CZ"/>
              </w:rPr>
              <w:t xml:space="preserve"> krávy</w:t>
            </w:r>
            <w:r w:rsidRPr="001A77A6">
              <w:rPr>
                <w:rFonts w:ascii="Arial" w:eastAsia="Times New Roman" w:hAnsi="Arial" w:cs="Arial"/>
                <w:color w:val="000000"/>
                <w:sz w:val="20"/>
                <w:szCs w:val="20"/>
                <w:lang w:eastAsia="cs-CZ"/>
              </w:rPr>
              <w:br/>
              <w:t xml:space="preserve">Podporováno je zajištění </w:t>
            </w:r>
            <w:proofErr w:type="spellStart"/>
            <w:r w:rsidRPr="001A77A6">
              <w:rPr>
                <w:rFonts w:ascii="Arial" w:eastAsia="Times New Roman" w:hAnsi="Arial" w:cs="Arial"/>
                <w:color w:val="000000"/>
                <w:sz w:val="20"/>
                <w:szCs w:val="20"/>
                <w:lang w:eastAsia="cs-CZ"/>
              </w:rPr>
              <w:t>suchostojným</w:t>
            </w:r>
            <w:proofErr w:type="spellEnd"/>
            <w:r w:rsidRPr="001A77A6">
              <w:rPr>
                <w:rFonts w:ascii="Arial" w:eastAsia="Times New Roman" w:hAnsi="Arial" w:cs="Arial"/>
                <w:color w:val="000000"/>
                <w:sz w:val="20"/>
                <w:szCs w:val="20"/>
                <w:lang w:eastAsia="cs-CZ"/>
              </w:rPr>
              <w:t xml:space="preserve"> kravám pobyt ve stáji s neomezeným přístupem do venkovních prostor.</w:t>
            </w:r>
            <w:r w:rsidRPr="001A77A6">
              <w:rPr>
                <w:rFonts w:ascii="Arial" w:eastAsia="Times New Roman" w:hAnsi="Arial" w:cs="Arial"/>
                <w:color w:val="000000"/>
                <w:sz w:val="20"/>
                <w:szCs w:val="20"/>
                <w:lang w:eastAsia="cs-CZ"/>
              </w:rPr>
              <w:br/>
              <w:t>14.1.4 Zlepšení životních podmínek v chovu prasat</w:t>
            </w:r>
            <w:r w:rsidRPr="001A77A6">
              <w:rPr>
                <w:rFonts w:ascii="Arial" w:eastAsia="Times New Roman" w:hAnsi="Arial" w:cs="Arial"/>
                <w:color w:val="000000"/>
                <w:sz w:val="20"/>
                <w:szCs w:val="20"/>
                <w:lang w:eastAsia="cs-CZ"/>
              </w:rPr>
              <w:br/>
              <w:t xml:space="preserve">Podpora je cílena na zajištění turnusového chovu prasnice (a to včetně kontroly resp. </w:t>
            </w:r>
            <w:r w:rsidRPr="001A77A6">
              <w:rPr>
                <w:rFonts w:ascii="Arial" w:eastAsia="Times New Roman" w:hAnsi="Arial" w:cs="Arial"/>
                <w:color w:val="000000"/>
                <w:sz w:val="20"/>
                <w:szCs w:val="20"/>
                <w:lang w:eastAsia="cs-CZ"/>
              </w:rPr>
              <w:lastRenderedPageBreak/>
              <w:t>ošetřování spárků) a na posunutí prvního zapuštění u prasniček.</w:t>
            </w:r>
            <w:r w:rsidRPr="001A77A6">
              <w:rPr>
                <w:rFonts w:ascii="Arial" w:eastAsia="Times New Roman" w:hAnsi="Arial" w:cs="Arial"/>
                <w:color w:val="000000"/>
                <w:sz w:val="20"/>
                <w:szCs w:val="20"/>
                <w:lang w:eastAsia="cs-CZ"/>
              </w:rPr>
              <w:br/>
              <w:t>14.1.5 Zvětšení plochy pro odstavená selata</w:t>
            </w:r>
            <w:r w:rsidRPr="001A77A6">
              <w:rPr>
                <w:rFonts w:ascii="Arial" w:eastAsia="Times New Roman" w:hAnsi="Arial" w:cs="Arial"/>
                <w:color w:val="000000"/>
                <w:sz w:val="20"/>
                <w:szCs w:val="20"/>
                <w:lang w:eastAsia="cs-CZ"/>
              </w:rPr>
              <w:br/>
              <w:t>Cílem podpory je zvětšení lehacího prostoru o odstavená selata o 20%.</w:t>
            </w:r>
            <w:r w:rsidRPr="001A77A6">
              <w:rPr>
                <w:rFonts w:ascii="Arial" w:eastAsia="Times New Roman" w:hAnsi="Arial" w:cs="Arial"/>
                <w:color w:val="000000"/>
                <w:sz w:val="20"/>
                <w:szCs w:val="20"/>
                <w:lang w:eastAsia="cs-CZ"/>
              </w:rPr>
              <w:br/>
              <w:t xml:space="preserve">Za způsobilý výdaj může být považováno dobrovolné provádění závazku jdoucího nad </w:t>
            </w:r>
            <w:proofErr w:type="spellStart"/>
            <w:r w:rsidRPr="001A77A6">
              <w:rPr>
                <w:rFonts w:ascii="Arial" w:eastAsia="Times New Roman" w:hAnsi="Arial" w:cs="Arial"/>
                <w:color w:val="000000"/>
                <w:sz w:val="20"/>
                <w:szCs w:val="20"/>
                <w:lang w:eastAsia="cs-CZ"/>
              </w:rPr>
              <w:t>baseline</w:t>
            </w:r>
            <w:proofErr w:type="spellEnd"/>
            <w:r w:rsidRPr="001A77A6">
              <w:rPr>
                <w:rFonts w:ascii="Arial" w:eastAsia="Times New Roman" w:hAnsi="Arial" w:cs="Arial"/>
                <w:color w:val="000000"/>
                <w:sz w:val="20"/>
                <w:szCs w:val="20"/>
                <w:lang w:eastAsia="cs-CZ"/>
              </w:rPr>
              <w:t xml:space="preserve"> operace. Závazky jsou realizovány jako jednoleté. Způsobilé výdaje jsou stanoveny na základě dodatečných nákladů a ušlých příjmů vznikajících v důsledku přijatých závazků.</w:t>
            </w:r>
            <w:r w:rsidRPr="001A77A6">
              <w:rPr>
                <w:rFonts w:ascii="Arial" w:eastAsia="Times New Roman" w:hAnsi="Arial" w:cs="Arial"/>
                <w:color w:val="000000"/>
                <w:sz w:val="20"/>
                <w:szCs w:val="20"/>
                <w:lang w:eastAsia="cs-CZ"/>
              </w:rPr>
              <w:br/>
              <w:t>Podpora se poskytuje jako účelová platba poskytovaná na 1 VDJ.</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Příjemcem podpory je</w:t>
            </w:r>
            <w:r w:rsidRPr="001A77A6">
              <w:rPr>
                <w:rFonts w:ascii="Arial" w:eastAsia="Times New Roman" w:hAnsi="Arial" w:cs="Arial"/>
                <w:color w:val="000000"/>
                <w:sz w:val="20"/>
                <w:szCs w:val="20"/>
                <w:lang w:eastAsia="cs-CZ"/>
              </w:rPr>
              <w:br/>
              <w:t>- zemědělský podnikatel blíže specifikovaný v nařízení vlády o podmínkách provádění opatření dobré životní podmínky zvířat, který provozuje zemědělskou činnost vlastním jménem a na vlastní odpovědnost, a zároveň</w:t>
            </w:r>
            <w:r w:rsidRPr="001A77A6">
              <w:rPr>
                <w:rFonts w:ascii="Arial" w:eastAsia="Times New Roman" w:hAnsi="Arial" w:cs="Arial"/>
                <w:color w:val="000000"/>
                <w:sz w:val="20"/>
                <w:szCs w:val="20"/>
                <w:lang w:eastAsia="cs-CZ"/>
              </w:rPr>
              <w:br/>
              <w:t>- aktivní zemědělec podle čl. 9 nařízení (EU) č. 1307/2013.</w:t>
            </w:r>
          </w:p>
        </w:tc>
      </w:tr>
      <w:tr w:rsidR="001A77A6" w:rsidRPr="001A77A6" w:rsidTr="001A77A6">
        <w:trPr>
          <w:gridAfter w:val="1"/>
          <w:wAfter w:w="63" w:type="dxa"/>
          <w:trHeight w:val="312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plošné</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M15 Lesnicko-environmentální </w:t>
            </w:r>
            <w:proofErr w:type="gramStart"/>
            <w:r w:rsidRPr="001A77A6">
              <w:rPr>
                <w:rFonts w:ascii="Arial" w:eastAsia="Times New Roman" w:hAnsi="Arial" w:cs="Arial"/>
                <w:color w:val="000000"/>
                <w:sz w:val="20"/>
                <w:szCs w:val="20"/>
                <w:lang w:eastAsia="cs-CZ"/>
              </w:rPr>
              <w:t>platby - příjem</w:t>
            </w:r>
            <w:proofErr w:type="gramEnd"/>
            <w:r w:rsidRPr="001A77A6">
              <w:rPr>
                <w:rFonts w:ascii="Arial" w:eastAsia="Times New Roman" w:hAnsi="Arial" w:cs="Arial"/>
                <w:color w:val="000000"/>
                <w:sz w:val="20"/>
                <w:szCs w:val="20"/>
                <w:lang w:eastAsia="cs-CZ"/>
              </w:rPr>
              <w:t xml:space="preserve"> žádostí na plošná opatření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09.04.2020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15.05.2020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38 000 000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15.1.1 Zachování porostního typu hospodářského souboru</w:t>
            </w:r>
            <w:r w:rsidRPr="001A77A6">
              <w:rPr>
                <w:rFonts w:ascii="Arial" w:eastAsia="Times New Roman" w:hAnsi="Arial" w:cs="Arial"/>
                <w:color w:val="000000"/>
                <w:sz w:val="20"/>
                <w:szCs w:val="20"/>
                <w:lang w:eastAsia="cs-CZ"/>
              </w:rPr>
              <w:br/>
              <w:t>Kompenzace dodatečných nákladů a snížených výnosů vyplývajících ze zachování vybraných porostních typů hospodářských souborů místo jeho přeměny na porostní typ hospodářského souboru s nižší ekologickou hodnotou (nad rámec závazných národních předpisů) v době obmýtí podle vyhlášky č. 83/1996 Sb.</w:t>
            </w:r>
            <w:r w:rsidRPr="001A77A6">
              <w:rPr>
                <w:rFonts w:ascii="Arial" w:eastAsia="Times New Roman" w:hAnsi="Arial" w:cs="Arial"/>
                <w:color w:val="000000"/>
                <w:sz w:val="20"/>
                <w:szCs w:val="20"/>
                <w:lang w:eastAsia="cs-CZ"/>
              </w:rPr>
              <w:br/>
              <w:t>Podpora bude mít formu dotace poskytované na hektar oprávněné plochy lesních porostů. Platba je založena na kompenzaci újmy v důsledku odložení mýtí těžby po dobu trvání závazku, takže je zachován stávající porostní typ, který má nižší hospodářské využití.</w:t>
            </w:r>
            <w:r w:rsidRPr="001A77A6">
              <w:rPr>
                <w:rFonts w:ascii="Arial" w:eastAsia="Times New Roman" w:hAnsi="Arial" w:cs="Arial"/>
                <w:color w:val="000000"/>
                <w:sz w:val="20"/>
                <w:szCs w:val="20"/>
                <w:lang w:eastAsia="cs-CZ"/>
              </w:rPr>
              <w:br/>
              <w:t>15.2.1 Ochrana a reprodukce genofondu lesních dřevin</w:t>
            </w:r>
            <w:r w:rsidRPr="001A77A6">
              <w:rPr>
                <w:rFonts w:ascii="Arial" w:eastAsia="Times New Roman" w:hAnsi="Arial" w:cs="Arial"/>
                <w:color w:val="000000"/>
                <w:sz w:val="20"/>
                <w:szCs w:val="20"/>
                <w:lang w:eastAsia="cs-CZ"/>
              </w:rPr>
              <w:br/>
              <w:t>Podpora bude mít formu dotace poskytované na hektar oprávněné plochy lesních porostů.</w:t>
            </w:r>
            <w:r w:rsidRPr="001A77A6">
              <w:rPr>
                <w:rFonts w:ascii="Arial" w:eastAsia="Times New Roman" w:hAnsi="Arial" w:cs="Arial"/>
                <w:color w:val="000000"/>
                <w:sz w:val="20"/>
                <w:szCs w:val="20"/>
                <w:lang w:eastAsia="cs-CZ"/>
              </w:rPr>
              <w:br/>
            </w:r>
            <w:r w:rsidRPr="001A77A6">
              <w:rPr>
                <w:rFonts w:ascii="Arial" w:eastAsia="Times New Roman" w:hAnsi="Arial" w:cs="Arial"/>
                <w:color w:val="000000"/>
                <w:sz w:val="20"/>
                <w:szCs w:val="20"/>
                <w:lang w:eastAsia="cs-CZ"/>
              </w:rPr>
              <w:lastRenderedPageBreak/>
              <w:t>Kompenzace dodatečných nákladů a snížených výnosů souvisejících se sběrem osiva šetrnými technologiemi nad rámec zákona č. 149/2003 Sb.</w:t>
            </w:r>
            <w:r w:rsidRPr="001A77A6">
              <w:rPr>
                <w:rFonts w:ascii="Arial" w:eastAsia="Times New Roman" w:hAnsi="Arial" w:cs="Arial"/>
                <w:color w:val="000000"/>
                <w:sz w:val="20"/>
                <w:szCs w:val="20"/>
                <w:lang w:eastAsia="cs-CZ"/>
              </w:rPr>
              <w:br/>
              <w:t>Platba je založena na standardizovaných jednorázových nákladech na sběr osiva šetrnějším způsobem (probíhá 1 x za dobu trvání závazku), které jsou přepočteny na rok trvání závazku.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15.1.1 - Soukromí a veřejní vlastníci, nájemci a pachtýři lesů a jiné soukromoprávní a veřejnoprávní subjekty a jejich sdružení a spolky. V případě státní půdy může být podpora poskytnuta pouze tehdy, hospodaří-li na ní soukromý subjekt nebo obec.</w:t>
            </w:r>
            <w:r w:rsidRPr="001A77A6">
              <w:rPr>
                <w:rFonts w:ascii="Arial" w:eastAsia="Times New Roman" w:hAnsi="Arial" w:cs="Arial"/>
                <w:color w:val="000000"/>
                <w:sz w:val="20"/>
                <w:szCs w:val="20"/>
                <w:lang w:eastAsia="cs-CZ"/>
              </w:rPr>
              <w:br/>
              <w:t>15.2.1 - Soukromí a veřejní vlastníci, nájemci a pachtýři lesů a jiné soukromoprávní a veřejnoprávní subjekty a jejich sdružení a spolky.</w:t>
            </w:r>
          </w:p>
        </w:tc>
      </w:tr>
      <w:tr w:rsidR="001A77A6" w:rsidRPr="001A77A6" w:rsidTr="001A77A6">
        <w:trPr>
          <w:gridAfter w:val="1"/>
          <w:wAfter w:w="63" w:type="dxa"/>
          <w:trHeight w:val="182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jarní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1.1.1 Vzdělávací akce</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01.02.2020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06.04.2020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26.04.2020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40 000 000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Podporováno bude realizování vzdělávacích projektů (tj. školení, odborné vzdělávání) v oblasti zemědělství a lesnictví. Z důvodu zajištění kvality budou vzdělávací projekty moci realizovat pouze subjekty se získanou akreditací udělenou věcně příslušným odborem pro oblast </w:t>
            </w:r>
            <w:proofErr w:type="spellStart"/>
            <w:r w:rsidRPr="001A77A6">
              <w:rPr>
                <w:rFonts w:ascii="Arial" w:eastAsia="Times New Roman" w:hAnsi="Arial" w:cs="Arial"/>
                <w:color w:val="000000"/>
                <w:sz w:val="20"/>
                <w:szCs w:val="20"/>
                <w:lang w:eastAsia="cs-CZ"/>
              </w:rPr>
              <w:t>vzdělávíní</w:t>
            </w:r>
            <w:proofErr w:type="spellEnd"/>
            <w:r w:rsidRPr="001A77A6">
              <w:rPr>
                <w:rFonts w:ascii="Arial" w:eastAsia="Times New Roman" w:hAnsi="Arial" w:cs="Arial"/>
                <w:color w:val="000000"/>
                <w:sz w:val="20"/>
                <w:szCs w:val="20"/>
                <w:lang w:eastAsia="cs-CZ"/>
              </w:rPr>
              <w:t xml:space="preserve"> Ministerstva zemědělství. </w:t>
            </w:r>
            <w:r w:rsidRPr="001A77A6">
              <w:rPr>
                <w:rFonts w:ascii="Arial" w:eastAsia="Times New Roman" w:hAnsi="Arial" w:cs="Arial"/>
                <w:color w:val="000000"/>
                <w:sz w:val="20"/>
                <w:szCs w:val="20"/>
                <w:lang w:eastAsia="cs-CZ"/>
              </w:rPr>
              <w:br/>
              <w:t>Účelem vzdělávacích akcí je odborné vzdělávání konečných příjemců, které směřuje ke zvyšování kvalifikace pracovníků v resortu zemědělství a lesnictví.</w:t>
            </w:r>
            <w:r w:rsidRPr="001A77A6">
              <w:rPr>
                <w:rFonts w:ascii="Arial" w:eastAsia="Times New Roman" w:hAnsi="Arial" w:cs="Arial"/>
                <w:color w:val="000000"/>
                <w:sz w:val="20"/>
                <w:szCs w:val="20"/>
                <w:lang w:eastAsia="cs-CZ"/>
              </w:rPr>
              <w:br/>
              <w:t>Podporu lze poskytnout vzdělávacím subjektům na neinvestiční výdaje sloužící k zabezpečení a provádění vzdělávacích projektů (školení), které odpovídají účelu podpory.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Příjemcem podpory je subjekt zajišťující vzdělávací akce. Subjekt musí být k této činnosti akreditovaný Ministerstvem zemědělství.</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jarní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1.2.1 Informační akce</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01.02.2020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06.04.2020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26.04.2020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Podporována bude realizace vzdělávacích projektů (tj. informačních akcí) v oblasti zemědělství, potravinářství a lesnictví. Tyto projekty budou realizovat pouze subjekty akreditované věcně příslušným odborem vzdělávání Ministerstva zemědělství.</w:t>
            </w:r>
            <w:r w:rsidRPr="001A77A6">
              <w:rPr>
                <w:rFonts w:ascii="Arial" w:eastAsia="Times New Roman" w:hAnsi="Arial" w:cs="Arial"/>
                <w:color w:val="000000"/>
                <w:sz w:val="20"/>
                <w:szCs w:val="20"/>
                <w:lang w:eastAsia="cs-CZ"/>
              </w:rPr>
              <w:br/>
              <w:t xml:space="preserve">Informační akce by se měly zaměřit na poskytování informací a předávání </w:t>
            </w:r>
            <w:r w:rsidRPr="001A77A6">
              <w:rPr>
                <w:rFonts w:ascii="Arial" w:eastAsia="Times New Roman" w:hAnsi="Arial" w:cs="Arial"/>
                <w:color w:val="000000"/>
                <w:sz w:val="20"/>
                <w:szCs w:val="20"/>
                <w:lang w:eastAsia="cs-CZ"/>
              </w:rPr>
              <w:lastRenderedPageBreak/>
              <w:t>zkušeností z oblastí zemědělství, potravinářství a lesnictví. Informační akce by se měly v těchto oblastech zaměřovat také na informování o možnostech využívání nových metod výroby založených na výsledcích vědy a výzkumu a též mohou informovat o aktuálních inovačních postupech. Podporu lze poskytnout vzdělávacím subjektům na neinvestiční výdaje sloužící k zabezpečení a provádění vzdělávacích akcí.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Příjemcem podpory je subjekt zajišťující informační akce akreditovaný Ministerstvem zemědělství.</w:t>
            </w:r>
          </w:p>
        </w:tc>
      </w:tr>
      <w:tr w:rsidR="001A77A6" w:rsidRPr="001A77A6" w:rsidTr="001A77A6">
        <w:trPr>
          <w:gridAfter w:val="1"/>
          <w:wAfter w:w="63" w:type="dxa"/>
          <w:trHeight w:val="312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jarní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16.4.1 Horizontální a vertikální spolupráce mezi účastníky krátkých dodavatelských řetězců a místních trhů</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01.02.2020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06.04.2020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26.04.2020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18 000 000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proofErr w:type="gramStart"/>
            <w:r w:rsidRPr="001A77A6">
              <w:rPr>
                <w:rFonts w:ascii="Arial" w:eastAsia="Times New Roman" w:hAnsi="Arial" w:cs="Arial"/>
                <w:color w:val="000000"/>
                <w:sz w:val="20"/>
                <w:szCs w:val="20"/>
                <w:lang w:eastAsia="cs-CZ"/>
              </w:rPr>
              <w:t>Podpora  spolupráce</w:t>
            </w:r>
            <w:proofErr w:type="gramEnd"/>
            <w:r w:rsidRPr="001A77A6">
              <w:rPr>
                <w:rFonts w:ascii="Arial" w:eastAsia="Times New Roman" w:hAnsi="Arial" w:cs="Arial"/>
                <w:color w:val="000000"/>
                <w:sz w:val="20"/>
                <w:szCs w:val="20"/>
                <w:lang w:eastAsia="cs-CZ"/>
              </w:rPr>
              <w:t xml:space="preserve"> minimálně dvou subjektů, která vede k vytváření a rozvoji krátkých dodavatelských řetězců (KDŘ) a místních trhů.</w:t>
            </w:r>
            <w:r w:rsidRPr="001A77A6">
              <w:rPr>
                <w:rFonts w:ascii="Arial" w:eastAsia="Times New Roman" w:hAnsi="Arial" w:cs="Arial"/>
                <w:color w:val="000000"/>
                <w:sz w:val="20"/>
                <w:szCs w:val="20"/>
                <w:lang w:eastAsia="cs-CZ"/>
              </w:rPr>
              <w:br/>
              <w:t>Podpora je  určena pro společné investice na realizaci projektu a společnou propagaci KDŘ nebo místního trhu.</w:t>
            </w:r>
            <w:r w:rsidRPr="001A77A6">
              <w:rPr>
                <w:rFonts w:ascii="Arial" w:eastAsia="Times New Roman" w:hAnsi="Arial" w:cs="Arial"/>
                <w:color w:val="000000"/>
                <w:sz w:val="20"/>
                <w:szCs w:val="20"/>
                <w:lang w:eastAsia="cs-CZ"/>
              </w:rPr>
              <w:br/>
              <w:t xml:space="preserve">Formou takovéto spolupráce může být společný prodej v místní prodejně, společný prodej ze dvora, společná organizace přímého prodeje spotřebiteli (např. </w:t>
            </w:r>
            <w:proofErr w:type="spellStart"/>
            <w:r w:rsidRPr="001A77A6">
              <w:rPr>
                <w:rFonts w:ascii="Arial" w:eastAsia="Times New Roman" w:hAnsi="Arial" w:cs="Arial"/>
                <w:color w:val="000000"/>
                <w:sz w:val="20"/>
                <w:szCs w:val="20"/>
                <w:lang w:eastAsia="cs-CZ"/>
              </w:rPr>
              <w:t>bedýnkový</w:t>
            </w:r>
            <w:proofErr w:type="spellEnd"/>
            <w:r w:rsidRPr="001A77A6">
              <w:rPr>
                <w:rFonts w:ascii="Arial" w:eastAsia="Times New Roman" w:hAnsi="Arial" w:cs="Arial"/>
                <w:color w:val="000000"/>
                <w:sz w:val="20"/>
                <w:szCs w:val="20"/>
                <w:lang w:eastAsia="cs-CZ"/>
              </w:rPr>
              <w:t xml:space="preserve"> prodej).</w:t>
            </w:r>
            <w:r w:rsidRPr="001A77A6">
              <w:rPr>
                <w:rFonts w:ascii="Arial" w:eastAsia="Times New Roman" w:hAnsi="Arial" w:cs="Arial"/>
                <w:color w:val="000000"/>
                <w:sz w:val="20"/>
                <w:szCs w:val="20"/>
                <w:lang w:eastAsia="cs-CZ"/>
              </w:rPr>
              <w:br/>
              <w:t>Příjemci musí mít společně uzavřenu smlouvu o spolupráci. Projektovou žádost podává jeden subjekt, který nese zodpovědnost za projekt jako celek. Operace může podpořit stávající skupinu spolupracujících subjektů při realizaci nového společného projektu. Podporovány nebudou společné aktivity, které již probíhají.</w:t>
            </w:r>
            <w:r w:rsidRPr="001A77A6">
              <w:rPr>
                <w:rFonts w:ascii="Arial" w:eastAsia="Times New Roman" w:hAnsi="Arial" w:cs="Arial"/>
                <w:color w:val="000000"/>
                <w:sz w:val="20"/>
                <w:szCs w:val="20"/>
                <w:lang w:eastAsia="cs-CZ"/>
              </w:rPr>
              <w:br/>
              <w:t>Podpora na vytvoření a rozvoj KDŘ se týká pouze dodavatelského řetězce, který zahrnuje maximálně jednoho zprostředkovatele mezi zemědělcem a spotřebitelem.</w:t>
            </w:r>
            <w:r w:rsidRPr="001A77A6">
              <w:rPr>
                <w:rFonts w:ascii="Arial" w:eastAsia="Times New Roman" w:hAnsi="Arial" w:cs="Arial"/>
                <w:color w:val="000000"/>
                <w:sz w:val="20"/>
                <w:szCs w:val="20"/>
                <w:lang w:eastAsia="cs-CZ"/>
              </w:rPr>
              <w:br/>
              <w:t xml:space="preserve">Vytvoření a rozvoj místního trhu bude podporován pouze v případě, že činnosti </w:t>
            </w:r>
            <w:r w:rsidRPr="001A77A6">
              <w:rPr>
                <w:rFonts w:ascii="Arial" w:eastAsia="Times New Roman" w:hAnsi="Arial" w:cs="Arial"/>
                <w:color w:val="000000"/>
                <w:sz w:val="20"/>
                <w:szCs w:val="20"/>
                <w:lang w:eastAsia="cs-CZ"/>
              </w:rPr>
              <w:lastRenderedPageBreak/>
              <w:t>zpracování a prodeje konečnému spotřebiteli se odehrávají v okruhu 75 km od zemědělského podniku, z něhož produkt pochází.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Uskupení minimálně dvou subjektů (zemědělský podnikatel, výrobce potravin, nevládní neziskové organizace zastupující zemědělce nebo zpracovatele potravin, obce nebo svazky obcí), kteří jsou zapojeni do spolupráce, která přispívá k dosažení cílů a priorit politiky rozvoje venkova.</w:t>
            </w:r>
            <w:r w:rsidRPr="001A77A6">
              <w:rPr>
                <w:rFonts w:ascii="Arial" w:eastAsia="Times New Roman" w:hAnsi="Arial" w:cs="Arial"/>
                <w:color w:val="000000"/>
                <w:sz w:val="20"/>
                <w:szCs w:val="20"/>
                <w:lang w:eastAsia="cs-CZ"/>
              </w:rPr>
              <w:br/>
              <w:t xml:space="preserve">Příjemcem nemůže být organizace producentů uznaná podle článku 152, sdružení organizací producentů uznané podle čl. 156 nebo mezioborová organizace uznaná podle článku 157 nařízení Evropského parlamentu a Rady (EU) č. 1308/2013 ze </w:t>
            </w:r>
            <w:r w:rsidRPr="001A77A6">
              <w:rPr>
                <w:rFonts w:ascii="Arial" w:eastAsia="Times New Roman" w:hAnsi="Arial" w:cs="Arial"/>
                <w:color w:val="000000"/>
                <w:sz w:val="20"/>
                <w:szCs w:val="20"/>
                <w:lang w:eastAsia="cs-CZ"/>
              </w:rPr>
              <w:lastRenderedPageBreak/>
              <w:t>dne 17. prosince 2013, kterým se stanoví společná organizace trhů se zemědělskými produkty a ruší nařízení Rady (EHS) č. 922/72, (EHS) č. 234/79, (ES) č. 1037/2001 a (ES) č. 1234/2007.</w:t>
            </w:r>
          </w:p>
        </w:tc>
      </w:tr>
      <w:tr w:rsidR="001A77A6" w:rsidRPr="001A77A6" w:rsidTr="001A77A6">
        <w:trPr>
          <w:gridAfter w:val="1"/>
          <w:wAfter w:w="63" w:type="dxa"/>
          <w:trHeight w:val="182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1.1.1 Vzdělávací akce</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40 000 000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Podporováno bude realizování vzdělávacích projektů (tj. školení, odborné vzdělávání) v oblasti zemědělství a lesnictví. Z důvodu zajištění kvality budou vzdělávací projekty moci realizovat pouze subjekty se získanou akreditací udělenou věcně příslušným odborem pro oblast </w:t>
            </w:r>
            <w:proofErr w:type="spellStart"/>
            <w:r w:rsidRPr="001A77A6">
              <w:rPr>
                <w:rFonts w:ascii="Arial" w:eastAsia="Times New Roman" w:hAnsi="Arial" w:cs="Arial"/>
                <w:color w:val="000000"/>
                <w:sz w:val="20"/>
                <w:szCs w:val="20"/>
                <w:lang w:eastAsia="cs-CZ"/>
              </w:rPr>
              <w:t>vzdělávíní</w:t>
            </w:r>
            <w:proofErr w:type="spellEnd"/>
            <w:r w:rsidRPr="001A77A6">
              <w:rPr>
                <w:rFonts w:ascii="Arial" w:eastAsia="Times New Roman" w:hAnsi="Arial" w:cs="Arial"/>
                <w:color w:val="000000"/>
                <w:sz w:val="20"/>
                <w:szCs w:val="20"/>
                <w:lang w:eastAsia="cs-CZ"/>
              </w:rPr>
              <w:t xml:space="preserve"> Ministerstva zemědělství. </w:t>
            </w:r>
            <w:r w:rsidRPr="001A77A6">
              <w:rPr>
                <w:rFonts w:ascii="Arial" w:eastAsia="Times New Roman" w:hAnsi="Arial" w:cs="Arial"/>
                <w:color w:val="000000"/>
                <w:sz w:val="20"/>
                <w:szCs w:val="20"/>
                <w:lang w:eastAsia="cs-CZ"/>
              </w:rPr>
              <w:br/>
              <w:t>Účelem vzdělávacích akcí je odborné vzdělávání konečných příjemců, které směřuje ke zvyšování kvalifikace pracovníků v resortu zemědělství a lesnictví.</w:t>
            </w:r>
            <w:r w:rsidRPr="001A77A6">
              <w:rPr>
                <w:rFonts w:ascii="Arial" w:eastAsia="Times New Roman" w:hAnsi="Arial" w:cs="Arial"/>
                <w:color w:val="000000"/>
                <w:sz w:val="20"/>
                <w:szCs w:val="20"/>
                <w:lang w:eastAsia="cs-CZ"/>
              </w:rPr>
              <w:br/>
              <w:t>Podporu lze poskytnout vzdělávacím subjektům na neinvestiční výdaje sloužící k zabezpečení a provádění vzdělávacích projektů (školení), které odpovídají účelu podpory.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Příjemcem podpory je subjekt zajišťující vzdělávací akce. Subjekt musí být k této činnosti akreditovaný Ministerstvem zemědělství.</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1.2.1 Informační akce</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15 000 000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Podporována bude realizace vzdělávacích projektů (tj. informačních akcí) v oblasti zemědělství, potravinářství a lesnictví. Tyto projekty budou realizovat pouze subjekty akreditované věcně příslušným odborem vzdělávání Ministerstva zemědělství.</w:t>
            </w:r>
            <w:r w:rsidRPr="001A77A6">
              <w:rPr>
                <w:rFonts w:ascii="Arial" w:eastAsia="Times New Roman" w:hAnsi="Arial" w:cs="Arial"/>
                <w:color w:val="000000"/>
                <w:sz w:val="20"/>
                <w:szCs w:val="20"/>
                <w:lang w:eastAsia="cs-CZ"/>
              </w:rPr>
              <w:br/>
              <w:t xml:space="preserve">Informační akce by se měly zaměřit na poskytování informací a předávání </w:t>
            </w:r>
            <w:r w:rsidRPr="001A77A6">
              <w:rPr>
                <w:rFonts w:ascii="Arial" w:eastAsia="Times New Roman" w:hAnsi="Arial" w:cs="Arial"/>
                <w:color w:val="000000"/>
                <w:sz w:val="20"/>
                <w:szCs w:val="20"/>
                <w:lang w:eastAsia="cs-CZ"/>
              </w:rPr>
              <w:lastRenderedPageBreak/>
              <w:t>zkušeností z oblastí zemědělství, potravinářství a lesnictví. Informační akce by se měly v těchto oblastech zaměřovat také na informování o možnostech využívání nových metod výroby založených na výsledcích vědy a výzkumu a též mohou informovat o aktuálních inovačních postupech. Podporu lze poskytnout vzdělávacím subjektům na neinvestiční výdaje sloužící k zabezpečení a provádění vzdělávacích akcí.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Příjemcem podpory je subjekt zajišťující informační akce akreditovaný Ministerstvem zemědělství.</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4.2.1 Zpracování a uvádění na trh zemědělských produktů</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500 000 000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Operace je zaměřena na zvýšení efektivity výroby a celkové konkurenceschopnosti malých a středních podniků v oblasti zpracování zemědělských produktů. Podpora investic do zařízení, která souvisejí se zpracováním zemědělských produktů a uvedením výrobků na trh, umožní zemědělským podnikatelům, výrobcům potravin a krmiv využití moderních technologií. V neposlední řadě operace přispěje k rozvoji místních trhů a zkrácení dodavatelských řetězců. Konkrétně budou podporovány např. investice do zařízení pro výrobu potravin a krmiv, pro finální úpravu, balení a značení produktů, do skladování i investice související s uváděním produktů na trh, a to včetně výstavby a rekonstrukcí budov.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Zemědělský podnikatel, výrobce potravin, nebo výrobce krmiv, který splňuje definici mikro, malého, nebo středního podniku.</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4.3.2 Lesnická infrastruktura</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Podpora výstavby a rekonstrukcí lesních cest vedoucí ke zlepšení kvality či zvýšení hustoty lesních cest. Ke zlepšení kvality stávajících lesních cest dojde jejich rekonstrukcí. Ke zvýšení hustoty lesních cest dojde výstavbou nových cest či rekonstrukcemi stávajících lesních cest zvýšením jejich kategorie. Zohledněno bude rovněž omezení erozního účinku odvodnění </w:t>
            </w:r>
            <w:r w:rsidRPr="001A77A6">
              <w:rPr>
                <w:rFonts w:ascii="Arial" w:eastAsia="Times New Roman" w:hAnsi="Arial" w:cs="Arial"/>
                <w:color w:val="000000"/>
                <w:sz w:val="20"/>
                <w:szCs w:val="20"/>
                <w:lang w:eastAsia="cs-CZ"/>
              </w:rPr>
              <w:lastRenderedPageBreak/>
              <w:t>lesních cest či vybavenost lesních cest pro účely ochrany lesa.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 xml:space="preserve">Držitelé (vlastníci, nájemci, pachtýři nebo vypůjčitelé) lesů, kteří jsou fyzickými nebo soukromými právnickými osobami, včetně sdružení s právní subjektivitou nebo spolků, vysokými školami se </w:t>
            </w:r>
            <w:r w:rsidRPr="001A77A6">
              <w:rPr>
                <w:rFonts w:ascii="Arial" w:eastAsia="Times New Roman" w:hAnsi="Arial" w:cs="Arial"/>
                <w:color w:val="000000"/>
                <w:sz w:val="20"/>
                <w:szCs w:val="20"/>
                <w:lang w:eastAsia="cs-CZ"/>
              </w:rPr>
              <w:lastRenderedPageBreak/>
              <w:t>školním lesním podnikem, středními školami nebo učilišti se školním polesím, obcemi, právnickými osobami zřízenými nebo založenými obcemi nebo kraji nebo jsou dobrovolnými svazky obcí.</w:t>
            </w:r>
          </w:p>
        </w:tc>
      </w:tr>
      <w:tr w:rsidR="001A77A6" w:rsidRPr="001A77A6" w:rsidTr="001A77A6">
        <w:trPr>
          <w:gridAfter w:val="1"/>
          <w:wAfter w:w="63" w:type="dxa"/>
          <w:trHeight w:val="208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6.1.1 Zahájení činnosti mladých zemědělců</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165 000 000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Výdaje do živočišné a rostlinné výroby vedoucí ke stimulaci zahájení aktivního podnikání mladých zemědělců v zemědělských podnicích prostřednictvím podpory realizace podnikatelského plánu.</w:t>
            </w:r>
            <w:r w:rsidRPr="001A77A6">
              <w:rPr>
                <w:rFonts w:ascii="Arial" w:eastAsia="Times New Roman" w:hAnsi="Arial" w:cs="Arial"/>
                <w:color w:val="000000"/>
                <w:sz w:val="20"/>
                <w:szCs w:val="20"/>
                <w:lang w:eastAsia="cs-CZ"/>
              </w:rPr>
              <w:br/>
              <w:t>V průběhu procesu zahájení činnosti žadatel realizuje úkony jako je např. absolvování odborných školení, nákup či pronájem pozemků a zvířat včetně jejich zaevidování v příslušných registrech či zajištění dalších hmotných komponent nutných pro zemědělskou činnost.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Mladý zemědělec, tedy osoba, která dosáhla ke dni podání Žádosti o dotaci věku 18 let a zároveň k témuž dni není starší 40 let (nedosáhla věku 41 let), dosáhla minimální zemědělské kvalifikace, nebo za stanovených podmínek dosáhne, a zahajuje zemědělskou činnost poprvé jako vedoucí podniku.</w:t>
            </w:r>
            <w:r w:rsidRPr="001A77A6">
              <w:rPr>
                <w:rFonts w:ascii="Arial" w:eastAsia="Times New Roman" w:hAnsi="Arial" w:cs="Arial"/>
                <w:color w:val="000000"/>
                <w:sz w:val="20"/>
                <w:szCs w:val="20"/>
                <w:lang w:eastAsia="cs-CZ"/>
              </w:rPr>
              <w:br/>
              <w:t>Žadatel zahajuje činnost poprvé, pokud není déle než 24 měsíců před podáním Žádosti o dotaci evidován jako zemědělský podnikatel, resp. statutární orgán práv. osoby.</w:t>
            </w:r>
          </w:p>
        </w:tc>
      </w:tr>
      <w:tr w:rsidR="001A77A6" w:rsidRPr="001A77A6" w:rsidTr="001A77A6">
        <w:trPr>
          <w:gridAfter w:val="1"/>
          <w:wAfter w:w="63" w:type="dxa"/>
          <w:trHeight w:val="182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6.4.1 Investice do nezemědělských činností</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160 000 000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Investice na založení nebo rozvoj nezemědělských činností vedoucí k diverzifikaci příjmů zemědělských podnikatelů, vytváření nových pracovních míst a posílení ekonomického potenciálu ve venkovských oblastech, a to podporou vybraných ekonomických činností. K podpoře byly vybrány ty ekonomické činnosti, které dle zkušeností z programového období 2007-2013 generovaly nejvíce pracovních míst. Jednalo se zejména o oblasti zpracovatelského průmyslu a maloobchodu. Mimo jiné bude podporována výroba potravinářských výrobků, nápojů, textilií, papíru, zpracování dřeva, dřevěných, kovových, skleněných výrobků, strojů a zařízení a zařízení na výrobu tvarovaných </w:t>
            </w:r>
            <w:proofErr w:type="gramStart"/>
            <w:r w:rsidRPr="001A77A6">
              <w:rPr>
                <w:rFonts w:ascii="Arial" w:eastAsia="Times New Roman" w:hAnsi="Arial" w:cs="Arial"/>
                <w:color w:val="000000"/>
                <w:sz w:val="20"/>
                <w:szCs w:val="20"/>
                <w:lang w:eastAsia="cs-CZ"/>
              </w:rPr>
              <w:t>biopaliv,</w:t>
            </w:r>
            <w:proofErr w:type="gramEnd"/>
            <w:r w:rsidRPr="001A77A6">
              <w:rPr>
                <w:rFonts w:ascii="Arial" w:eastAsia="Times New Roman" w:hAnsi="Arial" w:cs="Arial"/>
                <w:color w:val="000000"/>
                <w:sz w:val="20"/>
                <w:szCs w:val="20"/>
                <w:lang w:eastAsia="cs-CZ"/>
              </w:rPr>
              <w:t xml:space="preserve"> atd. Podpořeny budou též činnosti v oblasti stavebnictví, výzkumu a vývoje a dále široká škála maloobchodních činností. Podporovány budou jak stavební výdaje, tak strojní zařízení a technologie potřebné pro provoz dané činnosti.</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Zemědělský podnikatel.</w:t>
            </w:r>
          </w:p>
        </w:tc>
      </w:tr>
      <w:tr w:rsidR="001A77A6" w:rsidRPr="001A77A6" w:rsidTr="001A77A6">
        <w:trPr>
          <w:gridAfter w:val="1"/>
          <w:wAfter w:w="63" w:type="dxa"/>
          <w:trHeight w:val="78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6.4.2 Podpora agroturistiky</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120 000 000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 xml:space="preserve">Investice na diverzifikaci činností pro zemědělské subjekty v oblasti agroturistiky vedoucí k zajištění diverzifikace příjmů, vytváření pracovních míst i pro nekvalifikované pracovní síly, k podpoře širšího využití zemědělských farem a využití venkovských </w:t>
            </w:r>
            <w:proofErr w:type="spellStart"/>
            <w:r w:rsidRPr="001A77A6">
              <w:rPr>
                <w:rFonts w:ascii="Arial" w:eastAsia="Times New Roman" w:hAnsi="Arial" w:cs="Arial"/>
                <w:color w:val="000000"/>
                <w:sz w:val="20"/>
                <w:szCs w:val="20"/>
                <w:lang w:eastAsia="cs-CZ"/>
              </w:rPr>
              <w:t>brownfields</w:t>
            </w:r>
            <w:proofErr w:type="spellEnd"/>
            <w:r w:rsidRPr="001A77A6">
              <w:rPr>
                <w:rFonts w:ascii="Arial" w:eastAsia="Times New Roman" w:hAnsi="Arial" w:cs="Arial"/>
                <w:color w:val="000000"/>
                <w:sz w:val="20"/>
                <w:szCs w:val="20"/>
                <w:lang w:eastAsia="cs-CZ"/>
              </w:rPr>
              <w:t>. Podporován nebude spotřební materiál, příjezdové cesty, obecné náklady dle čl. 45 NK (EU) č. 1305/2013 a další výdaje, které s realizací projektu přímo nesouvisí.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Zemědělský podnikatel</w:t>
            </w:r>
          </w:p>
        </w:tc>
      </w:tr>
      <w:tr w:rsidR="001A77A6" w:rsidRPr="001A77A6" w:rsidTr="001A77A6">
        <w:trPr>
          <w:gridAfter w:val="1"/>
          <w:wAfter w:w="63" w:type="dxa"/>
          <w:trHeight w:val="156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8.5.1 Investice do ochrany melioračních a zpevňujících dřevin</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Operace je zaměřena na podporu hromadné ochrany melioračních a zpevňujících dřevin (oplocenek) od doby výsadby do stádia zajištění. Opatření přispěje k zajištění plnění mimoprodukčních a celospolečenských funkcí lesa a vyšší stabilitě porostů prostřednictvím navýšení podílu a zlepšení zdravotního stavu melioračních a zpevňujících dřevin. Meliorační a zpevňující dřeviny zabraňují postupné degradaci lesních půd, podílí se na zlepšování vodního režimu lesních půd, pomáhají zpevňovat kostru lesního porostu a zvyšují tak odolnost proti povětrnostním vlivům a snižují náchylnost porostů ke kalamitám způsobeným škůdci. V rámci celé České republiky se jedná o plochu ochráněných kultur v rozsahu 10 tis. ha/rok. Opatření je zacíleno na lesní pozemky na území celé ČR (mimo Prahu a imisní oblasti A nebo 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Soukromí a veřejní vlastníci, nájemci, pachtýři a vypůjčitelé lesa a jiné soukromoprávní a veřejnoprávní subjekty a jejich sdružení a spolky. Žadatelem nemohou být státní podniky.</w:t>
            </w:r>
          </w:p>
        </w:tc>
      </w:tr>
      <w:tr w:rsidR="001A77A6" w:rsidRPr="001A77A6" w:rsidTr="001A77A6">
        <w:trPr>
          <w:gridAfter w:val="1"/>
          <w:wAfter w:w="63" w:type="dxa"/>
          <w:trHeight w:val="1300"/>
        </w:trPr>
        <w:tc>
          <w:tcPr>
            <w:tcW w:w="95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podzimní kolo</w:t>
            </w:r>
          </w:p>
        </w:tc>
        <w:tc>
          <w:tcPr>
            <w:tcW w:w="2108"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8.5.3 Přeměna porostů náhradních dřevin</w:t>
            </w:r>
          </w:p>
        </w:tc>
        <w:tc>
          <w:tcPr>
            <w:tcW w:w="1193"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18 000 000</w:t>
            </w:r>
          </w:p>
        </w:tc>
        <w:tc>
          <w:tcPr>
            <w:tcW w:w="4111" w:type="dxa"/>
            <w:gridSpan w:val="2"/>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Operace je zaměřena na podporu rekonstrukce porostů náhradních dřevin. Operace je zacílena na lesní pozemky s porosty náhradních dřevin v imisních oblastech A nebo B (více než 20 tis. ha lesa) stanovených dle vyhlášky č. 78/1996 Sb., o stanovení pásem ohrožení lesů pod vlivem imisí, případně vymezených stanoveným navazujícím právním předpisem nebo předpisem (více než 20 tis. ha lesa). V rámci této operace jsou způsobilé pouze jednorázové investiční a neinvestiční náklady, tzn., že daná rekonstrukce porostu náhradních dřevin může být provedena pouze jedenkrát za programové období.</w:t>
            </w:r>
          </w:p>
        </w:tc>
        <w:tc>
          <w:tcPr>
            <w:tcW w:w="2126" w:type="dxa"/>
            <w:gridSpan w:val="2"/>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Soukromí a veřejní vlastníci, nájemci, pachtýři a vypůjčitelé lesa a jiné soukromoprávní a veřejnoprávní subjekty a jejich sdružení a spolky.</w:t>
            </w:r>
          </w:p>
        </w:tc>
      </w:tr>
      <w:tr w:rsidR="001A77A6" w:rsidRPr="001A77A6" w:rsidTr="001A77A6">
        <w:trPr>
          <w:gridAfter w:val="1"/>
          <w:wAfter w:w="63" w:type="dxa"/>
          <w:trHeight w:val="2600"/>
        </w:trPr>
        <w:tc>
          <w:tcPr>
            <w:tcW w:w="9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lastRenderedPageBreak/>
              <w:t>podzimní kolo</w:t>
            </w:r>
          </w:p>
        </w:tc>
        <w:tc>
          <w:tcPr>
            <w:tcW w:w="210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16.2.1 Podpora vývoje nových produktů, postupů a technologií v zemědělské prvovýrobě</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01.08.2020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05.10.2020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25.10.2020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jc w:val="right"/>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300 000 000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1A77A6" w:rsidRPr="001A77A6" w:rsidRDefault="001A77A6" w:rsidP="001A77A6">
            <w:pPr>
              <w:spacing w:before="100" w:beforeAutospacing="1" w:after="100" w:afterAutospacing="1" w:line="240" w:lineRule="auto"/>
              <w:rPr>
                <w:rFonts w:ascii="Arial" w:eastAsia="Times New Roman" w:hAnsi="Arial" w:cs="Arial"/>
                <w:color w:val="262626"/>
                <w:sz w:val="20"/>
                <w:szCs w:val="20"/>
                <w:lang w:eastAsia="cs-CZ"/>
              </w:rPr>
            </w:pPr>
            <w:r w:rsidRPr="001A77A6">
              <w:rPr>
                <w:rFonts w:ascii="Arial" w:eastAsia="Times New Roman" w:hAnsi="Arial" w:cs="Arial"/>
                <w:color w:val="000000"/>
                <w:sz w:val="20"/>
                <w:szCs w:val="20"/>
                <w:lang w:eastAsia="cs-CZ"/>
              </w:rPr>
              <w:t>Operace je zaměřena na rozvoj inovací v zemědělské prvovýrobě. Jedná se o projekty, které zavádějí nové nebo významně zlepšené produkty, postupy, nebo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 Nová technologie, produkt nebo proces musí být vyvinuty ve spolupráci s výzkumným subjektem nebo žadatelem, který má k vývoji nového produktu, postupu nebo technologie prokazatelně dostatečné zdroje v podobě kvalifikovaného personálu a výrobních zdrojů. V případě inovace pouze pro podnik se spolupracující subjekt (výzkumný/vývojový tým žadatele) musí významně podílet na aplikaci (přizpůsobení) již existující technologie, produktu nebo procesu na specifické podmínky podniku.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A77A6" w:rsidRPr="001A77A6" w:rsidRDefault="001A77A6" w:rsidP="001A77A6">
            <w:pPr>
              <w:spacing w:after="0" w:line="240" w:lineRule="auto"/>
              <w:rPr>
                <w:rFonts w:ascii="Times New Roman" w:eastAsia="Times New Roman" w:hAnsi="Times New Roman" w:cs="Times New Roman"/>
                <w:sz w:val="20"/>
                <w:szCs w:val="20"/>
                <w:lang w:eastAsia="cs-CZ"/>
              </w:rPr>
            </w:pPr>
            <w:r>
              <w:rPr>
                <w:rFonts w:ascii="Arial" w:hAnsi="Arial" w:cs="Arial"/>
                <w:color w:val="000000"/>
                <w:sz w:val="20"/>
                <w:szCs w:val="20"/>
                <w:shd w:val="clear" w:color="auto" w:fill="FFFFFF"/>
              </w:rPr>
              <w:t>U</w:t>
            </w:r>
            <w:r>
              <w:rPr>
                <w:rFonts w:ascii="Arial" w:hAnsi="Arial" w:cs="Arial"/>
                <w:color w:val="000000"/>
                <w:sz w:val="20"/>
                <w:szCs w:val="20"/>
                <w:shd w:val="clear" w:color="auto" w:fill="FFFFFF"/>
              </w:rPr>
              <w:t>skupení minimálně dvou subjektů, kdy minimálně jeden subjekt musí prokázat podnikatelskou činnost v odvětví zemědělství a minimálně jeden subjekt musí být výzkumnou institucí. Uskupení žádá o podporu prostřednictvím zemědělského podnikatele nebo skupiny zemědělců.</w:t>
            </w:r>
            <w:r>
              <w:rPr>
                <w:rFonts w:ascii="Arial" w:hAnsi="Arial" w:cs="Arial"/>
                <w:color w:val="000000"/>
                <w:sz w:val="20"/>
                <w:szCs w:val="20"/>
              </w:rPr>
              <w:br/>
            </w:r>
            <w:r>
              <w:rPr>
                <w:rFonts w:ascii="Arial" w:hAnsi="Arial" w:cs="Arial"/>
                <w:color w:val="000000"/>
                <w:sz w:val="20"/>
                <w:szCs w:val="20"/>
                <w:shd w:val="clear" w:color="auto" w:fill="FFFFFF"/>
              </w:rPr>
              <w:t>Jednotlivý zemědělský podnikatel, který má k vývoji nového produktu, postupu nebo technologie vlastní kvalifikovaný personál a výrobní prostředky.</w:t>
            </w:r>
            <w:r>
              <w:rPr>
                <w:rFonts w:ascii="Arial" w:hAnsi="Arial" w:cs="Arial"/>
                <w:color w:val="000000"/>
                <w:sz w:val="20"/>
                <w:szCs w:val="20"/>
              </w:rPr>
              <w:br/>
            </w:r>
            <w:r>
              <w:rPr>
                <w:rFonts w:ascii="Arial" w:hAnsi="Arial" w:cs="Arial"/>
                <w:color w:val="000000"/>
                <w:sz w:val="20"/>
                <w:szCs w:val="20"/>
                <w:shd w:val="clear" w:color="auto" w:fill="FFFFFF"/>
              </w:rPr>
              <w:t>Skupina zemědělců, tj. podnikatelský subjekt, který mák vývoji nového produktu, postupu nebo technologie vlastní kvalifikovaný personál a výrobní prostředky.</w:t>
            </w:r>
          </w:p>
        </w:tc>
      </w:tr>
    </w:tbl>
    <w:p w:rsidR="001A77A6" w:rsidRPr="001A77A6" w:rsidRDefault="001A77A6" w:rsidP="001A77A6"/>
    <w:sectPr w:rsidR="001A77A6" w:rsidRPr="001A77A6" w:rsidSect="001A77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A6"/>
    <w:rsid w:val="001A77A6"/>
    <w:rsid w:val="004C3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2B7"/>
  <w15:chartTrackingRefBased/>
  <w15:docId w15:val="{A81B2BCE-151C-4F77-B193-02B9D9F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A77A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60576">
      <w:bodyDiv w:val="1"/>
      <w:marLeft w:val="0"/>
      <w:marRight w:val="0"/>
      <w:marTop w:val="0"/>
      <w:marBottom w:val="0"/>
      <w:divBdr>
        <w:top w:val="none" w:sz="0" w:space="0" w:color="auto"/>
        <w:left w:val="none" w:sz="0" w:space="0" w:color="auto"/>
        <w:bottom w:val="none" w:sz="0" w:space="0" w:color="auto"/>
        <w:right w:val="none" w:sz="0" w:space="0" w:color="auto"/>
      </w:divBdr>
    </w:div>
    <w:div w:id="10385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3420</Words>
  <Characters>20184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Kancelář</dc:creator>
  <cp:keywords/>
  <dc:description/>
  <cp:lastModifiedBy>Kancelář</cp:lastModifiedBy>
  <cp:revision>1</cp:revision>
  <dcterms:created xsi:type="dcterms:W3CDTF">2020-01-14T08:22:00Z</dcterms:created>
  <dcterms:modified xsi:type="dcterms:W3CDTF">2020-01-14T09:16:00Z</dcterms:modified>
</cp:coreProperties>
</file>